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1E30E3">
        <w:tblPrEx>
          <w:tblCellMar>
            <w:top w:w="0" w:type="dxa"/>
            <w:bottom w:w="0" w:type="dxa"/>
          </w:tblCellMar>
        </w:tblPrEx>
        <w:trPr>
          <w:tblCellSpacing w:w="60" w:type="dxa"/>
        </w:trPr>
        <w:tc>
          <w:tcPr>
            <w:tcW w:w="1200" w:type="pct"/>
            <w:shd w:val="clear" w:color="auto" w:fill="E7F0F9"/>
          </w:tcPr>
          <w:p w:rsidR="001E30E3" w:rsidRDefault="00944454">
            <w:pPr>
              <w:spacing w:after="0" w:line="240" w:lineRule="auto"/>
            </w:pPr>
            <w:bookmarkStart w:id="0" w:name="_GoBack"/>
            <w:bookmarkEnd w:id="0"/>
            <w:r>
              <w:rPr>
                <w:b/>
              </w:rPr>
              <w:t>RKP broj</w:t>
            </w:r>
          </w:p>
        </w:tc>
        <w:tc>
          <w:tcPr>
            <w:tcW w:w="0" w:type="auto"/>
            <w:shd w:val="clear" w:color="auto" w:fill="E7F0F9"/>
          </w:tcPr>
          <w:p w:rsidR="001E30E3" w:rsidRDefault="00944454">
            <w:pPr>
              <w:spacing w:after="0" w:line="240" w:lineRule="auto"/>
            </w:pPr>
            <w:r>
              <w:t>14179</w:t>
            </w:r>
          </w:p>
        </w:tc>
      </w:tr>
      <w:tr w:rsidR="001E30E3">
        <w:tblPrEx>
          <w:tblCellMar>
            <w:top w:w="0" w:type="dxa"/>
            <w:bottom w:w="0" w:type="dxa"/>
          </w:tblCellMar>
        </w:tblPrEx>
        <w:trPr>
          <w:tblCellSpacing w:w="60" w:type="dxa"/>
        </w:trPr>
        <w:tc>
          <w:tcPr>
            <w:tcW w:w="1200" w:type="pct"/>
            <w:shd w:val="clear" w:color="auto" w:fill="E7F0F9"/>
          </w:tcPr>
          <w:p w:rsidR="001E30E3" w:rsidRDefault="00944454">
            <w:pPr>
              <w:spacing w:after="0" w:line="240" w:lineRule="auto"/>
            </w:pPr>
            <w:r>
              <w:rPr>
                <w:b/>
              </w:rPr>
              <w:t>Naziv obveznika</w:t>
            </w:r>
          </w:p>
        </w:tc>
        <w:tc>
          <w:tcPr>
            <w:tcW w:w="0" w:type="auto"/>
            <w:shd w:val="clear" w:color="auto" w:fill="E7F0F9"/>
          </w:tcPr>
          <w:p w:rsidR="001E30E3" w:rsidRDefault="00944454">
            <w:pPr>
              <w:spacing w:after="0" w:line="240" w:lineRule="auto"/>
            </w:pPr>
            <w:r>
              <w:t>V. Osnovna škola Varaždin</w:t>
            </w:r>
          </w:p>
        </w:tc>
      </w:tr>
      <w:tr w:rsidR="001E30E3">
        <w:tblPrEx>
          <w:tblCellMar>
            <w:top w:w="0" w:type="dxa"/>
            <w:bottom w:w="0" w:type="dxa"/>
          </w:tblCellMar>
        </w:tblPrEx>
        <w:trPr>
          <w:tblCellSpacing w:w="60" w:type="dxa"/>
        </w:trPr>
        <w:tc>
          <w:tcPr>
            <w:tcW w:w="1200" w:type="pct"/>
            <w:shd w:val="clear" w:color="auto" w:fill="E7F0F9"/>
          </w:tcPr>
          <w:p w:rsidR="001E30E3" w:rsidRDefault="00944454">
            <w:pPr>
              <w:spacing w:after="0" w:line="240" w:lineRule="auto"/>
            </w:pPr>
            <w:r>
              <w:rPr>
                <w:b/>
              </w:rPr>
              <w:t>Razina</w:t>
            </w:r>
          </w:p>
        </w:tc>
        <w:tc>
          <w:tcPr>
            <w:tcW w:w="0" w:type="auto"/>
            <w:shd w:val="clear" w:color="auto" w:fill="E7F0F9"/>
          </w:tcPr>
          <w:p w:rsidR="001E30E3" w:rsidRDefault="00944454">
            <w:pPr>
              <w:spacing w:after="0" w:line="240" w:lineRule="auto"/>
            </w:pPr>
            <w:r>
              <w:t>31</w:t>
            </w:r>
          </w:p>
        </w:tc>
      </w:tr>
    </w:tbl>
    <w:p w:rsidR="001E30E3" w:rsidRDefault="00944454">
      <w:r>
        <w:br/>
      </w:r>
    </w:p>
    <w:p w:rsidR="001E30E3" w:rsidRDefault="00944454">
      <w:pPr>
        <w:spacing w:line="240" w:lineRule="auto"/>
        <w:jc w:val="center"/>
      </w:pPr>
      <w:r>
        <w:rPr>
          <w:b/>
          <w:sz w:val="28"/>
        </w:rPr>
        <w:t>BILJEŠKE UZ FINANCIJSKE IZVJEŠTAJE</w:t>
      </w:r>
    </w:p>
    <w:p w:rsidR="001E30E3" w:rsidRDefault="00944454">
      <w:pPr>
        <w:spacing w:line="240" w:lineRule="auto"/>
        <w:jc w:val="center"/>
      </w:pPr>
      <w:r>
        <w:rPr>
          <w:b/>
          <w:sz w:val="28"/>
        </w:rPr>
        <w:t>ZA RAZDOBLJE</w:t>
      </w:r>
    </w:p>
    <w:p w:rsidR="001E30E3" w:rsidRDefault="00944454">
      <w:pPr>
        <w:spacing w:line="240" w:lineRule="auto"/>
        <w:jc w:val="center"/>
      </w:pPr>
      <w:r>
        <w:rPr>
          <w:b/>
          <w:sz w:val="28"/>
        </w:rPr>
        <w:t>I - VI 2025.</w:t>
      </w:r>
    </w:p>
    <w:p w:rsidR="001E30E3" w:rsidRDefault="001E30E3"/>
    <w:p w:rsidR="001E30E3" w:rsidRDefault="00944454">
      <w:pPr>
        <w:keepNext/>
        <w:spacing w:line="240" w:lineRule="auto"/>
        <w:jc w:val="center"/>
      </w:pPr>
      <w:r>
        <w:rPr>
          <w:b/>
          <w:sz w:val="28"/>
        </w:rPr>
        <w:t>Izvještaj o prihodima i rashodima, primicima i izdacima</w:t>
      </w:r>
    </w:p>
    <w:p w:rsidR="001E30E3" w:rsidRDefault="00944454">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w:t>
            </w:r>
          </w:p>
        </w:tc>
        <w:tc>
          <w:tcPr>
            <w:tcW w:w="3180" w:type="dxa"/>
            <w:tcMar>
              <w:top w:w="0" w:type="dxa"/>
              <w:bottom w:w="0" w:type="dxa"/>
            </w:tcMar>
            <w:vAlign w:val="center"/>
          </w:tcPr>
          <w:p w:rsidR="001E30E3" w:rsidRDefault="00944454">
            <w:pPr>
              <w:keepNext/>
              <w:keepLines/>
              <w:spacing w:after="0" w:line="240" w:lineRule="auto"/>
            </w:pPr>
            <w:r>
              <w:rPr>
                <w:sz w:val="18"/>
              </w:rPr>
              <w:t>PRIHODI POSLOVANJA (šifre 61+62+63+64+65+66+67+68)</w:t>
            </w:r>
          </w:p>
        </w:tc>
        <w:tc>
          <w:tcPr>
            <w:tcW w:w="700" w:type="dxa"/>
            <w:tcMar>
              <w:top w:w="0" w:type="dxa"/>
              <w:bottom w:w="0" w:type="dxa"/>
            </w:tcMar>
            <w:vAlign w:val="center"/>
          </w:tcPr>
          <w:p w:rsidR="001E30E3" w:rsidRDefault="00944454">
            <w:pPr>
              <w:keepNext/>
              <w:keepLines/>
              <w:spacing w:after="0" w:line="240" w:lineRule="auto"/>
            </w:pPr>
            <w:r>
              <w:rPr>
                <w:sz w:val="18"/>
              </w:rPr>
              <w:t>6</w:t>
            </w:r>
          </w:p>
        </w:tc>
        <w:tc>
          <w:tcPr>
            <w:tcW w:w="1860" w:type="dxa"/>
            <w:tcMar>
              <w:top w:w="0" w:type="dxa"/>
              <w:bottom w:w="0" w:type="dxa"/>
            </w:tcMar>
            <w:vAlign w:val="center"/>
          </w:tcPr>
          <w:p w:rsidR="001E30E3" w:rsidRDefault="00944454">
            <w:pPr>
              <w:keepNext/>
              <w:keepLines/>
              <w:spacing w:after="0" w:line="240" w:lineRule="auto"/>
              <w:jc w:val="right"/>
            </w:pPr>
            <w:r>
              <w:rPr>
                <w:sz w:val="18"/>
              </w:rPr>
              <w:t>682.895,81</w:t>
            </w:r>
          </w:p>
        </w:tc>
        <w:tc>
          <w:tcPr>
            <w:tcW w:w="1860" w:type="dxa"/>
            <w:tcMar>
              <w:top w:w="0" w:type="dxa"/>
              <w:bottom w:w="0" w:type="dxa"/>
            </w:tcMar>
            <w:vAlign w:val="center"/>
          </w:tcPr>
          <w:p w:rsidR="001E30E3" w:rsidRDefault="00944454">
            <w:pPr>
              <w:keepNext/>
              <w:keepLines/>
              <w:spacing w:after="0" w:line="240" w:lineRule="auto"/>
              <w:jc w:val="right"/>
            </w:pPr>
            <w:r>
              <w:rPr>
                <w:sz w:val="18"/>
              </w:rPr>
              <w:t>787.385,91</w:t>
            </w:r>
          </w:p>
        </w:tc>
        <w:tc>
          <w:tcPr>
            <w:tcW w:w="700" w:type="dxa"/>
            <w:tcMar>
              <w:top w:w="0" w:type="dxa"/>
              <w:bottom w:w="0" w:type="dxa"/>
            </w:tcMar>
            <w:vAlign w:val="center"/>
          </w:tcPr>
          <w:p w:rsidR="001E30E3" w:rsidRDefault="00944454">
            <w:pPr>
              <w:keepNext/>
              <w:keepLines/>
              <w:spacing w:after="0" w:line="240" w:lineRule="auto"/>
              <w:jc w:val="right"/>
            </w:pPr>
            <w:r>
              <w:rPr>
                <w:sz w:val="18"/>
              </w:rPr>
              <w:t>115,3</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w:t>
            </w:r>
          </w:p>
        </w:tc>
        <w:tc>
          <w:tcPr>
            <w:tcW w:w="3180" w:type="dxa"/>
            <w:tcMar>
              <w:top w:w="0" w:type="dxa"/>
              <w:bottom w:w="0" w:type="dxa"/>
            </w:tcMar>
            <w:vAlign w:val="center"/>
          </w:tcPr>
          <w:p w:rsidR="001E30E3" w:rsidRDefault="00944454">
            <w:pPr>
              <w:keepNext/>
              <w:keepLines/>
              <w:spacing w:after="0" w:line="240" w:lineRule="auto"/>
            </w:pPr>
            <w:r>
              <w:rPr>
                <w:sz w:val="18"/>
              </w:rPr>
              <w:t>RASHODI POSLOVANJA (šifre 31+32+34+35+36+37+38)</w:t>
            </w:r>
          </w:p>
        </w:tc>
        <w:tc>
          <w:tcPr>
            <w:tcW w:w="700" w:type="dxa"/>
            <w:tcMar>
              <w:top w:w="0" w:type="dxa"/>
              <w:bottom w:w="0" w:type="dxa"/>
            </w:tcMar>
            <w:vAlign w:val="center"/>
          </w:tcPr>
          <w:p w:rsidR="001E30E3" w:rsidRDefault="00944454">
            <w:pPr>
              <w:keepNext/>
              <w:keepLines/>
              <w:spacing w:after="0" w:line="240" w:lineRule="auto"/>
            </w:pPr>
            <w:r>
              <w:rPr>
                <w:sz w:val="18"/>
              </w:rPr>
              <w:t>3</w:t>
            </w:r>
          </w:p>
        </w:tc>
        <w:tc>
          <w:tcPr>
            <w:tcW w:w="1860" w:type="dxa"/>
            <w:tcMar>
              <w:top w:w="0" w:type="dxa"/>
              <w:bottom w:w="0" w:type="dxa"/>
            </w:tcMar>
            <w:vAlign w:val="center"/>
          </w:tcPr>
          <w:p w:rsidR="001E30E3" w:rsidRDefault="00944454">
            <w:pPr>
              <w:keepNext/>
              <w:keepLines/>
              <w:spacing w:after="0" w:line="240" w:lineRule="auto"/>
              <w:jc w:val="right"/>
            </w:pPr>
            <w:r>
              <w:rPr>
                <w:sz w:val="18"/>
              </w:rPr>
              <w:t>631.554,72</w:t>
            </w:r>
          </w:p>
        </w:tc>
        <w:tc>
          <w:tcPr>
            <w:tcW w:w="1860" w:type="dxa"/>
            <w:tcMar>
              <w:top w:w="0" w:type="dxa"/>
              <w:bottom w:w="0" w:type="dxa"/>
            </w:tcMar>
            <w:vAlign w:val="center"/>
          </w:tcPr>
          <w:p w:rsidR="001E30E3" w:rsidRDefault="00944454">
            <w:pPr>
              <w:keepNext/>
              <w:keepLines/>
              <w:spacing w:after="0" w:line="240" w:lineRule="auto"/>
              <w:jc w:val="right"/>
            </w:pPr>
            <w:r>
              <w:rPr>
                <w:sz w:val="18"/>
              </w:rPr>
              <w:t>806.172,63</w:t>
            </w:r>
          </w:p>
        </w:tc>
        <w:tc>
          <w:tcPr>
            <w:tcW w:w="700" w:type="dxa"/>
            <w:tcMar>
              <w:top w:w="0" w:type="dxa"/>
              <w:bottom w:w="0" w:type="dxa"/>
            </w:tcMar>
            <w:vAlign w:val="center"/>
          </w:tcPr>
          <w:p w:rsidR="001E30E3" w:rsidRDefault="00944454">
            <w:pPr>
              <w:keepNext/>
              <w:keepLines/>
              <w:spacing w:after="0" w:line="240" w:lineRule="auto"/>
              <w:jc w:val="right"/>
            </w:pPr>
            <w:r>
              <w:rPr>
                <w:sz w:val="18"/>
              </w:rPr>
              <w:t>127,6</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b/>
                <w:sz w:val="18"/>
              </w:rPr>
              <w:t>MANJAK PRIHODA POSLOVANJA (šifre Z005-6)</w:t>
            </w:r>
          </w:p>
        </w:tc>
        <w:tc>
          <w:tcPr>
            <w:tcW w:w="700" w:type="dxa"/>
            <w:tcMar>
              <w:top w:w="0" w:type="dxa"/>
              <w:bottom w:w="0" w:type="dxa"/>
            </w:tcMar>
            <w:vAlign w:val="center"/>
          </w:tcPr>
          <w:p w:rsidR="001E30E3" w:rsidRDefault="00944454">
            <w:pPr>
              <w:keepNext/>
              <w:keepLines/>
              <w:spacing w:after="0" w:line="240" w:lineRule="auto"/>
            </w:pPr>
            <w:r>
              <w:rPr>
                <w:b/>
                <w:sz w:val="18"/>
              </w:rPr>
              <w:t>Y001</w:t>
            </w:r>
          </w:p>
        </w:tc>
        <w:tc>
          <w:tcPr>
            <w:tcW w:w="1860" w:type="dxa"/>
            <w:tcMar>
              <w:top w:w="0" w:type="dxa"/>
              <w:bottom w:w="0" w:type="dxa"/>
            </w:tcMar>
            <w:vAlign w:val="center"/>
          </w:tcPr>
          <w:p w:rsidR="001E30E3" w:rsidRDefault="00944454">
            <w:pPr>
              <w:keepNext/>
              <w:keepLines/>
              <w:spacing w:after="0" w:line="240" w:lineRule="auto"/>
              <w:jc w:val="right"/>
            </w:pPr>
            <w:r>
              <w:rPr>
                <w:b/>
                <w:sz w:val="18"/>
              </w:rPr>
              <w:t>0,00</w:t>
            </w:r>
          </w:p>
        </w:tc>
        <w:tc>
          <w:tcPr>
            <w:tcW w:w="1860" w:type="dxa"/>
            <w:tcMar>
              <w:top w:w="0" w:type="dxa"/>
              <w:bottom w:w="0" w:type="dxa"/>
            </w:tcMar>
            <w:vAlign w:val="center"/>
          </w:tcPr>
          <w:p w:rsidR="001E30E3" w:rsidRDefault="00944454">
            <w:pPr>
              <w:keepNext/>
              <w:keepLines/>
              <w:spacing w:after="0" w:line="240" w:lineRule="auto"/>
              <w:jc w:val="right"/>
            </w:pPr>
            <w:r>
              <w:rPr>
                <w:b/>
                <w:sz w:val="18"/>
              </w:rPr>
              <w:t>18.786,72</w:t>
            </w:r>
          </w:p>
        </w:tc>
        <w:tc>
          <w:tcPr>
            <w:tcW w:w="700" w:type="dxa"/>
            <w:tcMar>
              <w:top w:w="0" w:type="dxa"/>
              <w:bottom w:w="0" w:type="dxa"/>
            </w:tcMar>
            <w:vAlign w:val="center"/>
          </w:tcPr>
          <w:p w:rsidR="001E30E3" w:rsidRDefault="00944454">
            <w:pPr>
              <w:keepNext/>
              <w:keepLines/>
              <w:spacing w:after="0" w:line="240" w:lineRule="auto"/>
              <w:jc w:val="right"/>
            </w:pPr>
            <w:r>
              <w:rPr>
                <w:b/>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7</w:t>
            </w:r>
          </w:p>
        </w:tc>
        <w:tc>
          <w:tcPr>
            <w:tcW w:w="3180" w:type="dxa"/>
            <w:tcMar>
              <w:top w:w="0" w:type="dxa"/>
              <w:bottom w:w="0" w:type="dxa"/>
            </w:tcMar>
            <w:vAlign w:val="center"/>
          </w:tcPr>
          <w:p w:rsidR="001E30E3" w:rsidRDefault="00944454">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1E30E3" w:rsidRDefault="00944454">
            <w:pPr>
              <w:keepNext/>
              <w:keepLines/>
              <w:spacing w:after="0" w:line="240" w:lineRule="auto"/>
            </w:pPr>
            <w:r>
              <w:rPr>
                <w:sz w:val="18"/>
              </w:rPr>
              <w:t>7</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4</w:t>
            </w:r>
          </w:p>
        </w:tc>
        <w:tc>
          <w:tcPr>
            <w:tcW w:w="3180" w:type="dxa"/>
            <w:tcMar>
              <w:top w:w="0" w:type="dxa"/>
              <w:bottom w:w="0" w:type="dxa"/>
            </w:tcMar>
            <w:vAlign w:val="center"/>
          </w:tcPr>
          <w:p w:rsidR="001E30E3" w:rsidRDefault="00944454">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1E30E3" w:rsidRDefault="00944454">
            <w:pPr>
              <w:keepNext/>
              <w:keepLines/>
              <w:spacing w:after="0" w:line="240" w:lineRule="auto"/>
            </w:pPr>
            <w:r>
              <w:rPr>
                <w:sz w:val="18"/>
              </w:rPr>
              <w:t>4</w:t>
            </w:r>
          </w:p>
        </w:tc>
        <w:tc>
          <w:tcPr>
            <w:tcW w:w="1860" w:type="dxa"/>
            <w:tcMar>
              <w:top w:w="0" w:type="dxa"/>
              <w:bottom w:w="0" w:type="dxa"/>
            </w:tcMar>
            <w:vAlign w:val="center"/>
          </w:tcPr>
          <w:p w:rsidR="001E30E3" w:rsidRDefault="00944454">
            <w:pPr>
              <w:keepNext/>
              <w:keepLines/>
              <w:spacing w:after="0" w:line="240" w:lineRule="auto"/>
              <w:jc w:val="right"/>
            </w:pPr>
            <w:r>
              <w:rPr>
                <w:sz w:val="18"/>
              </w:rPr>
              <w:t>3.542,75</w:t>
            </w:r>
          </w:p>
        </w:tc>
        <w:tc>
          <w:tcPr>
            <w:tcW w:w="1860" w:type="dxa"/>
            <w:tcMar>
              <w:top w:w="0" w:type="dxa"/>
              <w:bottom w:w="0" w:type="dxa"/>
            </w:tcMar>
            <w:vAlign w:val="center"/>
          </w:tcPr>
          <w:p w:rsidR="001E30E3" w:rsidRDefault="00944454">
            <w:pPr>
              <w:keepNext/>
              <w:keepLines/>
              <w:spacing w:after="0" w:line="240" w:lineRule="auto"/>
              <w:jc w:val="right"/>
            </w:pPr>
            <w:r>
              <w:rPr>
                <w:sz w:val="18"/>
              </w:rPr>
              <w:t>7.539,94</w:t>
            </w:r>
          </w:p>
        </w:tc>
        <w:tc>
          <w:tcPr>
            <w:tcW w:w="700" w:type="dxa"/>
            <w:tcMar>
              <w:top w:w="0" w:type="dxa"/>
              <w:bottom w:w="0" w:type="dxa"/>
            </w:tcMar>
            <w:vAlign w:val="center"/>
          </w:tcPr>
          <w:p w:rsidR="001E30E3" w:rsidRDefault="00944454">
            <w:pPr>
              <w:keepNext/>
              <w:keepLines/>
              <w:spacing w:after="0" w:line="240" w:lineRule="auto"/>
              <w:jc w:val="right"/>
            </w:pPr>
            <w:r>
              <w:rPr>
                <w:sz w:val="18"/>
              </w:rPr>
              <w:t>212,8</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1E30E3" w:rsidRDefault="00944454">
            <w:pPr>
              <w:keepNext/>
              <w:keepLines/>
              <w:spacing w:after="0" w:line="240" w:lineRule="auto"/>
            </w:pPr>
            <w:r>
              <w:rPr>
                <w:b/>
                <w:sz w:val="18"/>
              </w:rPr>
              <w:t>Y002</w:t>
            </w:r>
          </w:p>
        </w:tc>
        <w:tc>
          <w:tcPr>
            <w:tcW w:w="1860" w:type="dxa"/>
            <w:tcMar>
              <w:top w:w="0" w:type="dxa"/>
              <w:bottom w:w="0" w:type="dxa"/>
            </w:tcMar>
            <w:vAlign w:val="center"/>
          </w:tcPr>
          <w:p w:rsidR="001E30E3" w:rsidRDefault="00944454">
            <w:pPr>
              <w:keepNext/>
              <w:keepLines/>
              <w:spacing w:after="0" w:line="240" w:lineRule="auto"/>
              <w:jc w:val="right"/>
            </w:pPr>
            <w:r>
              <w:rPr>
                <w:b/>
                <w:sz w:val="18"/>
              </w:rPr>
              <w:t>3.542,75</w:t>
            </w:r>
          </w:p>
        </w:tc>
        <w:tc>
          <w:tcPr>
            <w:tcW w:w="1860" w:type="dxa"/>
            <w:tcMar>
              <w:top w:w="0" w:type="dxa"/>
              <w:bottom w:w="0" w:type="dxa"/>
            </w:tcMar>
            <w:vAlign w:val="center"/>
          </w:tcPr>
          <w:p w:rsidR="001E30E3" w:rsidRDefault="00944454">
            <w:pPr>
              <w:keepNext/>
              <w:keepLines/>
              <w:spacing w:after="0" w:line="240" w:lineRule="auto"/>
              <w:jc w:val="right"/>
            </w:pPr>
            <w:r>
              <w:rPr>
                <w:b/>
                <w:sz w:val="18"/>
              </w:rPr>
              <w:t>7.539,94</w:t>
            </w:r>
          </w:p>
        </w:tc>
        <w:tc>
          <w:tcPr>
            <w:tcW w:w="700" w:type="dxa"/>
            <w:tcMar>
              <w:top w:w="0" w:type="dxa"/>
              <w:bottom w:w="0" w:type="dxa"/>
            </w:tcMar>
            <w:vAlign w:val="center"/>
          </w:tcPr>
          <w:p w:rsidR="001E30E3" w:rsidRDefault="00944454">
            <w:pPr>
              <w:keepNext/>
              <w:keepLines/>
              <w:spacing w:after="0" w:line="240" w:lineRule="auto"/>
              <w:jc w:val="right"/>
            </w:pPr>
            <w:r>
              <w:rPr>
                <w:b/>
                <w:sz w:val="18"/>
              </w:rPr>
              <w:t>212,8</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8</w:t>
            </w:r>
          </w:p>
        </w:tc>
        <w:tc>
          <w:tcPr>
            <w:tcW w:w="3180" w:type="dxa"/>
            <w:tcMar>
              <w:top w:w="0" w:type="dxa"/>
              <w:bottom w:w="0" w:type="dxa"/>
            </w:tcMar>
            <w:vAlign w:val="center"/>
          </w:tcPr>
          <w:p w:rsidR="001E30E3" w:rsidRDefault="00944454">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1E30E3" w:rsidRDefault="00944454">
            <w:pPr>
              <w:keepNext/>
              <w:keepLines/>
              <w:spacing w:after="0" w:line="240" w:lineRule="auto"/>
            </w:pPr>
            <w:r>
              <w:rPr>
                <w:sz w:val="18"/>
              </w:rPr>
              <w:t>8</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5</w:t>
            </w:r>
          </w:p>
        </w:tc>
        <w:tc>
          <w:tcPr>
            <w:tcW w:w="3180" w:type="dxa"/>
            <w:tcMar>
              <w:top w:w="0" w:type="dxa"/>
              <w:bottom w:w="0" w:type="dxa"/>
            </w:tcMar>
            <w:vAlign w:val="center"/>
          </w:tcPr>
          <w:p w:rsidR="001E30E3" w:rsidRDefault="00944454">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1E30E3" w:rsidRDefault="00944454">
            <w:pPr>
              <w:keepNext/>
              <w:keepLines/>
              <w:spacing w:after="0" w:line="240" w:lineRule="auto"/>
            </w:pPr>
            <w:r>
              <w:rPr>
                <w:sz w:val="18"/>
              </w:rPr>
              <w:t>5</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1E30E3" w:rsidRDefault="00944454">
            <w:pPr>
              <w:keepNext/>
              <w:keepLines/>
              <w:spacing w:after="0" w:line="240" w:lineRule="auto"/>
            </w:pPr>
            <w:r>
              <w:rPr>
                <w:b/>
                <w:sz w:val="18"/>
              </w:rPr>
              <w:t>X003, Y003</w:t>
            </w:r>
          </w:p>
        </w:tc>
        <w:tc>
          <w:tcPr>
            <w:tcW w:w="1860" w:type="dxa"/>
            <w:tcMar>
              <w:top w:w="0" w:type="dxa"/>
              <w:bottom w:w="0" w:type="dxa"/>
            </w:tcMar>
            <w:vAlign w:val="center"/>
          </w:tcPr>
          <w:p w:rsidR="001E30E3" w:rsidRDefault="00944454">
            <w:pPr>
              <w:keepNext/>
              <w:keepLines/>
              <w:spacing w:after="0" w:line="240" w:lineRule="auto"/>
              <w:jc w:val="right"/>
            </w:pPr>
            <w:r>
              <w:rPr>
                <w:b/>
                <w:sz w:val="18"/>
              </w:rPr>
              <w:t>0,00</w:t>
            </w:r>
          </w:p>
        </w:tc>
        <w:tc>
          <w:tcPr>
            <w:tcW w:w="1860" w:type="dxa"/>
            <w:tcMar>
              <w:top w:w="0" w:type="dxa"/>
              <w:bottom w:w="0" w:type="dxa"/>
            </w:tcMar>
            <w:vAlign w:val="center"/>
          </w:tcPr>
          <w:p w:rsidR="001E30E3" w:rsidRDefault="00944454">
            <w:pPr>
              <w:keepNext/>
              <w:keepLines/>
              <w:spacing w:after="0" w:line="240" w:lineRule="auto"/>
              <w:jc w:val="right"/>
            </w:pPr>
            <w:r>
              <w:rPr>
                <w:b/>
                <w:sz w:val="18"/>
              </w:rPr>
              <w:t>0,00</w:t>
            </w:r>
          </w:p>
        </w:tc>
        <w:tc>
          <w:tcPr>
            <w:tcW w:w="700" w:type="dxa"/>
            <w:tcMar>
              <w:top w:w="0" w:type="dxa"/>
              <w:bottom w:w="0" w:type="dxa"/>
            </w:tcMar>
            <w:vAlign w:val="center"/>
          </w:tcPr>
          <w:p w:rsidR="001E30E3" w:rsidRDefault="00944454">
            <w:pPr>
              <w:keepNext/>
              <w:keepLines/>
              <w:spacing w:after="0" w:line="240" w:lineRule="auto"/>
              <w:jc w:val="right"/>
            </w:pPr>
            <w:r>
              <w:rPr>
                <w:b/>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b/>
                <w:sz w:val="18"/>
              </w:rPr>
              <w:t>MANJAK PRIHODA I PRIMITAKA (šifre Y345-X678)</w:t>
            </w:r>
          </w:p>
        </w:tc>
        <w:tc>
          <w:tcPr>
            <w:tcW w:w="700" w:type="dxa"/>
            <w:tcMar>
              <w:top w:w="0" w:type="dxa"/>
              <w:bottom w:w="0" w:type="dxa"/>
            </w:tcMar>
            <w:vAlign w:val="center"/>
          </w:tcPr>
          <w:p w:rsidR="001E30E3" w:rsidRDefault="00944454">
            <w:pPr>
              <w:keepNext/>
              <w:keepLines/>
              <w:spacing w:after="0" w:line="240" w:lineRule="auto"/>
            </w:pPr>
            <w:r>
              <w:rPr>
                <w:b/>
                <w:sz w:val="18"/>
              </w:rPr>
              <w:t>Y005</w:t>
            </w:r>
          </w:p>
        </w:tc>
        <w:tc>
          <w:tcPr>
            <w:tcW w:w="1860" w:type="dxa"/>
            <w:tcMar>
              <w:top w:w="0" w:type="dxa"/>
              <w:bottom w:w="0" w:type="dxa"/>
            </w:tcMar>
            <w:vAlign w:val="center"/>
          </w:tcPr>
          <w:p w:rsidR="001E30E3" w:rsidRDefault="00944454">
            <w:pPr>
              <w:keepNext/>
              <w:keepLines/>
              <w:spacing w:after="0" w:line="240" w:lineRule="auto"/>
              <w:jc w:val="right"/>
            </w:pPr>
            <w:r>
              <w:rPr>
                <w:b/>
                <w:sz w:val="18"/>
              </w:rPr>
              <w:t>0,00</w:t>
            </w:r>
          </w:p>
        </w:tc>
        <w:tc>
          <w:tcPr>
            <w:tcW w:w="1860" w:type="dxa"/>
            <w:tcMar>
              <w:top w:w="0" w:type="dxa"/>
              <w:bottom w:w="0" w:type="dxa"/>
            </w:tcMar>
            <w:vAlign w:val="center"/>
          </w:tcPr>
          <w:p w:rsidR="001E30E3" w:rsidRDefault="00944454">
            <w:pPr>
              <w:keepNext/>
              <w:keepLines/>
              <w:spacing w:after="0" w:line="240" w:lineRule="auto"/>
              <w:jc w:val="right"/>
            </w:pPr>
            <w:r>
              <w:rPr>
                <w:b/>
                <w:sz w:val="18"/>
              </w:rPr>
              <w:t>26.326,66</w:t>
            </w:r>
          </w:p>
        </w:tc>
        <w:tc>
          <w:tcPr>
            <w:tcW w:w="700" w:type="dxa"/>
            <w:tcMar>
              <w:top w:w="0" w:type="dxa"/>
              <w:bottom w:w="0" w:type="dxa"/>
            </w:tcMar>
            <w:vAlign w:val="center"/>
          </w:tcPr>
          <w:p w:rsidR="001E30E3" w:rsidRDefault="00944454">
            <w:pPr>
              <w:keepNext/>
              <w:keepLines/>
              <w:spacing w:after="0" w:line="240" w:lineRule="auto"/>
              <w:jc w:val="right"/>
            </w:pPr>
            <w:r>
              <w:rPr>
                <w:b/>
                <w:sz w:val="18"/>
              </w:rPr>
              <w:t>-</w:t>
            </w:r>
          </w:p>
        </w:tc>
      </w:tr>
    </w:tbl>
    <w:p w:rsidR="001E30E3" w:rsidRDefault="001E30E3">
      <w:pPr>
        <w:spacing w:after="0"/>
      </w:pPr>
    </w:p>
    <w:p w:rsidR="001E30E3" w:rsidRDefault="00944454">
      <w:pPr>
        <w:spacing w:line="240" w:lineRule="auto"/>
        <w:jc w:val="both"/>
      </w:pPr>
      <w:r>
        <w:t xml:space="preserve">Ukupni prihodi poslovanja u prvoj polovici ove godine iznose 787.385,91 eura, a </w:t>
      </w:r>
      <w:r>
        <w:t>ukupni rashodi poslovanja 806.172,63 eura. Ostvaren je manjak prihoda poslovanja u iznosu od 18.786,72 eura. Ukupni rashodi za nabavu nefinancijske imovine evidentirani su iznosu 7.539,94 eura, dok u istom periodu prihodi od prodaje nefinancijske imovine n</w:t>
      </w:r>
      <w:r>
        <w:t xml:space="preserve">isu evidentirani. Iz navedenog slijedi da ukupan manjak prihoda i primitaka u prvom polugodištu ove godine iznosi 26.326,66 eura.  Navedeni manjak prihoda i primitaka u prvoj polovici ove godine najvećim dijelom rezultat je promjene u načinu evidentiranja </w:t>
      </w:r>
      <w:r>
        <w:t xml:space="preserve">obračuna plaće. Naime, </w:t>
      </w:r>
      <w:r>
        <w:lastRenderedPageBreak/>
        <w:t>prijašnjih godina rashodi za plaću na kraju tromjesečja knjižili su se na rashode budućih razdoblja, kako bi rashodi i prihodi bili evidentirani u istom periodu. Od ove godine mijenja se način evidentiranja. Rashodi za plaću evidenti</w:t>
      </w:r>
      <w:r>
        <w:t>raju se u tekućem mjesecu, a prihodi se priznaju su slijedećem mjesecu, kod isplate plaće. Tako da u prvih 6 mjeseci ove godine imamo evidentirano ukupno 7 rashoda  i 6 prihoda za plaću, što rezultira iskazanim manjkom prihoda u poslovnim knjigama.</w:t>
      </w:r>
    </w:p>
    <w:p w:rsidR="001E30E3" w:rsidRDefault="00944454">
      <w:r>
        <w:br/>
      </w:r>
    </w:p>
    <w:p w:rsidR="001E30E3" w:rsidRDefault="00944454">
      <w:pPr>
        <w:keepNext/>
        <w:spacing w:line="240" w:lineRule="auto"/>
        <w:jc w:val="center"/>
      </w:pPr>
      <w:r>
        <w:rPr>
          <w:sz w:val="28"/>
        </w:rPr>
        <w:t>Bilje</w:t>
      </w:r>
      <w:r>
        <w:rPr>
          <w:sz w:val="28"/>
        </w:rPr>
        <w:t>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6361</w:t>
            </w:r>
          </w:p>
        </w:tc>
        <w:tc>
          <w:tcPr>
            <w:tcW w:w="3180" w:type="dxa"/>
            <w:tcMar>
              <w:top w:w="0" w:type="dxa"/>
              <w:bottom w:w="0" w:type="dxa"/>
            </w:tcMar>
            <w:vAlign w:val="center"/>
          </w:tcPr>
          <w:p w:rsidR="001E30E3" w:rsidRDefault="00944454">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1E30E3" w:rsidRDefault="00944454">
            <w:pPr>
              <w:keepNext/>
              <w:keepLines/>
              <w:spacing w:after="0" w:line="240" w:lineRule="auto"/>
            </w:pPr>
            <w:r>
              <w:rPr>
                <w:sz w:val="18"/>
              </w:rPr>
              <w:t>6361</w:t>
            </w:r>
          </w:p>
        </w:tc>
        <w:tc>
          <w:tcPr>
            <w:tcW w:w="1860" w:type="dxa"/>
            <w:tcMar>
              <w:top w:w="0" w:type="dxa"/>
              <w:bottom w:w="0" w:type="dxa"/>
            </w:tcMar>
            <w:vAlign w:val="center"/>
          </w:tcPr>
          <w:p w:rsidR="001E30E3" w:rsidRDefault="00944454">
            <w:pPr>
              <w:keepNext/>
              <w:keepLines/>
              <w:spacing w:after="0" w:line="240" w:lineRule="auto"/>
              <w:jc w:val="right"/>
            </w:pPr>
            <w:r>
              <w:rPr>
                <w:sz w:val="18"/>
              </w:rPr>
              <w:t>533.598,69</w:t>
            </w:r>
          </w:p>
        </w:tc>
        <w:tc>
          <w:tcPr>
            <w:tcW w:w="1860" w:type="dxa"/>
            <w:tcMar>
              <w:top w:w="0" w:type="dxa"/>
              <w:bottom w:w="0" w:type="dxa"/>
            </w:tcMar>
            <w:vAlign w:val="center"/>
          </w:tcPr>
          <w:p w:rsidR="001E30E3" w:rsidRDefault="00944454">
            <w:pPr>
              <w:keepNext/>
              <w:keepLines/>
              <w:spacing w:after="0" w:line="240" w:lineRule="auto"/>
              <w:jc w:val="right"/>
            </w:pPr>
            <w:r>
              <w:rPr>
                <w:sz w:val="18"/>
              </w:rPr>
              <w:t>592.492,14</w:t>
            </w:r>
          </w:p>
        </w:tc>
        <w:tc>
          <w:tcPr>
            <w:tcW w:w="700" w:type="dxa"/>
            <w:tcMar>
              <w:top w:w="0" w:type="dxa"/>
              <w:bottom w:w="0" w:type="dxa"/>
            </w:tcMar>
            <w:vAlign w:val="center"/>
          </w:tcPr>
          <w:p w:rsidR="001E30E3" w:rsidRDefault="00944454">
            <w:pPr>
              <w:keepNext/>
              <w:keepLines/>
              <w:spacing w:after="0" w:line="240" w:lineRule="auto"/>
              <w:jc w:val="right"/>
            </w:pPr>
            <w:r>
              <w:rPr>
                <w:sz w:val="18"/>
              </w:rPr>
              <w:t>111,0</w:t>
            </w:r>
          </w:p>
        </w:tc>
      </w:tr>
    </w:tbl>
    <w:p w:rsidR="001E30E3" w:rsidRDefault="001E30E3">
      <w:pPr>
        <w:spacing w:after="0"/>
      </w:pPr>
    </w:p>
    <w:p w:rsidR="001E30E3" w:rsidRDefault="00944454">
      <w:pPr>
        <w:spacing w:line="240" w:lineRule="auto"/>
        <w:jc w:val="both"/>
      </w:pPr>
      <w:r>
        <w:t xml:space="preserve">Tekuće pomoći u prvom polugodištu ove godine iznosile su ukupno 592.492,14 eura, što je 11% više nego prošle godine. Uplate se odnose na prihode iz državnog proračuna za voditelja Županijskog stručnog vijeća likovne kulture u iznosu od  </w:t>
      </w:r>
      <w:r>
        <w:t xml:space="preserve">245,00 eura, za nabavu </w:t>
      </w:r>
      <w:proofErr w:type="spellStart"/>
      <w:r>
        <w:t>psihodijagnostičkih</w:t>
      </w:r>
      <w:proofErr w:type="spellEnd"/>
      <w:r>
        <w:t xml:space="preserve"> sredstava u iznosu od 1.357,19 eura, doznaka za troškove besplatnog toplog obroka koji se provodi u svim školama u iznosu od 30.331,98 eura. Nacionalni centar za vanjsko vrednovanje doznačio je 55,50 eura za trošk</w:t>
      </w:r>
      <w:r>
        <w:t>ove prijevoza učiteljicama za ispravljanje nacionalnih ispita. Također u sklopu projekta nabave besplatnih higijenskih uložaka, doznačeno je 537,00 eura. Županija je doznačila sredstva u iznosu od 851,78 eura za troškove naknada povjerenstvima na natjecanj</w:t>
      </w:r>
      <w:r>
        <w:t xml:space="preserve">ima  i troškove organizacije. Uplata Ministarstva za sufinanciranje troškova </w:t>
      </w:r>
      <w:proofErr w:type="spellStart"/>
      <w:r>
        <w:t>izvanučioničke</w:t>
      </w:r>
      <w:proofErr w:type="spellEnd"/>
      <w:r>
        <w:t xml:space="preserve"> nastave romskih nacionalnih manjina iznosi 575,40 eura. Iznos za isplatu plaće i materijalnih prava zaposlenicima iznosi 558.538,29 eura i veći je nego prošle godin</w:t>
      </w:r>
      <w:r>
        <w:t>e zbog povećanja osnovice za isplatu plaća prema dodatku kolektivnom ugovoru za državne službenike i namještenike te namještenike u javnim službama.</w:t>
      </w:r>
    </w:p>
    <w:p w:rsidR="001E30E3" w:rsidRDefault="001E30E3"/>
    <w:p w:rsidR="001E30E3" w:rsidRDefault="00944454">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w:t>
            </w:r>
            <w:r>
              <w:rPr>
                <w:b/>
                <w:sz w:val="18"/>
              </w:rPr>
              <w:t>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6526</w:t>
            </w:r>
          </w:p>
        </w:tc>
        <w:tc>
          <w:tcPr>
            <w:tcW w:w="3180" w:type="dxa"/>
            <w:tcMar>
              <w:top w:w="0" w:type="dxa"/>
              <w:bottom w:w="0" w:type="dxa"/>
            </w:tcMar>
            <w:vAlign w:val="center"/>
          </w:tcPr>
          <w:p w:rsidR="001E30E3" w:rsidRDefault="00944454">
            <w:pPr>
              <w:keepNext/>
              <w:keepLines/>
              <w:spacing w:after="0" w:line="240" w:lineRule="auto"/>
            </w:pPr>
            <w:r>
              <w:rPr>
                <w:sz w:val="18"/>
              </w:rPr>
              <w:t>Ostali nespomenuti prihodi</w:t>
            </w:r>
          </w:p>
        </w:tc>
        <w:tc>
          <w:tcPr>
            <w:tcW w:w="700" w:type="dxa"/>
            <w:tcMar>
              <w:top w:w="0" w:type="dxa"/>
              <w:bottom w:w="0" w:type="dxa"/>
            </w:tcMar>
            <w:vAlign w:val="center"/>
          </w:tcPr>
          <w:p w:rsidR="001E30E3" w:rsidRDefault="00944454">
            <w:pPr>
              <w:keepNext/>
              <w:keepLines/>
              <w:spacing w:after="0" w:line="240" w:lineRule="auto"/>
            </w:pPr>
            <w:r>
              <w:rPr>
                <w:sz w:val="18"/>
              </w:rPr>
              <w:t>6526</w:t>
            </w:r>
          </w:p>
        </w:tc>
        <w:tc>
          <w:tcPr>
            <w:tcW w:w="1860" w:type="dxa"/>
            <w:tcMar>
              <w:top w:w="0" w:type="dxa"/>
              <w:bottom w:w="0" w:type="dxa"/>
            </w:tcMar>
            <w:vAlign w:val="center"/>
          </w:tcPr>
          <w:p w:rsidR="001E30E3" w:rsidRDefault="00944454">
            <w:pPr>
              <w:keepNext/>
              <w:keepLines/>
              <w:spacing w:after="0" w:line="240" w:lineRule="auto"/>
              <w:jc w:val="right"/>
            </w:pPr>
            <w:r>
              <w:rPr>
                <w:sz w:val="18"/>
              </w:rPr>
              <w:t>18.481,28</w:t>
            </w:r>
          </w:p>
        </w:tc>
        <w:tc>
          <w:tcPr>
            <w:tcW w:w="1860" w:type="dxa"/>
            <w:tcMar>
              <w:top w:w="0" w:type="dxa"/>
              <w:bottom w:w="0" w:type="dxa"/>
            </w:tcMar>
            <w:vAlign w:val="center"/>
          </w:tcPr>
          <w:p w:rsidR="001E30E3" w:rsidRDefault="00944454">
            <w:pPr>
              <w:keepNext/>
              <w:keepLines/>
              <w:spacing w:after="0" w:line="240" w:lineRule="auto"/>
              <w:jc w:val="right"/>
            </w:pPr>
            <w:r>
              <w:rPr>
                <w:sz w:val="18"/>
              </w:rPr>
              <w:t>21.878,44</w:t>
            </w:r>
          </w:p>
        </w:tc>
        <w:tc>
          <w:tcPr>
            <w:tcW w:w="700" w:type="dxa"/>
            <w:tcMar>
              <w:top w:w="0" w:type="dxa"/>
              <w:bottom w:w="0" w:type="dxa"/>
            </w:tcMar>
            <w:vAlign w:val="center"/>
          </w:tcPr>
          <w:p w:rsidR="001E30E3" w:rsidRDefault="00944454">
            <w:pPr>
              <w:keepNext/>
              <w:keepLines/>
              <w:spacing w:after="0" w:line="240" w:lineRule="auto"/>
              <w:jc w:val="right"/>
            </w:pPr>
            <w:r>
              <w:rPr>
                <w:sz w:val="18"/>
              </w:rPr>
              <w:t>118,4</w:t>
            </w:r>
          </w:p>
        </w:tc>
      </w:tr>
    </w:tbl>
    <w:p w:rsidR="001E30E3" w:rsidRDefault="001E30E3">
      <w:pPr>
        <w:spacing w:after="0"/>
      </w:pPr>
    </w:p>
    <w:p w:rsidR="001E30E3" w:rsidRDefault="00944454">
      <w:pPr>
        <w:spacing w:line="240" w:lineRule="auto"/>
        <w:jc w:val="both"/>
      </w:pPr>
      <w:r>
        <w:t xml:space="preserve">Ostali nespomenuti prihodi koji se odnose na sufinanciranje cijena, participacija i slično, veći su za 3.397,16 eura, što je 18,4%, u </w:t>
      </w:r>
      <w:r>
        <w:t>odnosu na isto razdoblje prošle godine iz razloga što je  veći broj djece u produženom boravku, a time je i uplata u ovoj godini veća.</w:t>
      </w:r>
    </w:p>
    <w:p w:rsidR="001E30E3" w:rsidRDefault="001E30E3"/>
    <w:p w:rsidR="001E30E3" w:rsidRDefault="00944454">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w:t>
            </w:r>
            <w:r>
              <w:rPr>
                <w:b/>
                <w:sz w:val="18"/>
              </w:rPr>
              <w:t>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6615</w:t>
            </w:r>
          </w:p>
        </w:tc>
        <w:tc>
          <w:tcPr>
            <w:tcW w:w="3180" w:type="dxa"/>
            <w:tcMar>
              <w:top w:w="0" w:type="dxa"/>
              <w:bottom w:w="0" w:type="dxa"/>
            </w:tcMar>
            <w:vAlign w:val="center"/>
          </w:tcPr>
          <w:p w:rsidR="001E30E3" w:rsidRDefault="00944454">
            <w:pPr>
              <w:keepNext/>
              <w:keepLines/>
              <w:spacing w:after="0" w:line="240" w:lineRule="auto"/>
            </w:pPr>
            <w:r>
              <w:rPr>
                <w:sz w:val="18"/>
              </w:rPr>
              <w:t>Prihodi od pruženih usluga</w:t>
            </w:r>
          </w:p>
        </w:tc>
        <w:tc>
          <w:tcPr>
            <w:tcW w:w="700" w:type="dxa"/>
            <w:tcMar>
              <w:top w:w="0" w:type="dxa"/>
              <w:bottom w:w="0" w:type="dxa"/>
            </w:tcMar>
            <w:vAlign w:val="center"/>
          </w:tcPr>
          <w:p w:rsidR="001E30E3" w:rsidRDefault="00944454">
            <w:pPr>
              <w:keepNext/>
              <w:keepLines/>
              <w:spacing w:after="0" w:line="240" w:lineRule="auto"/>
            </w:pPr>
            <w:r>
              <w:rPr>
                <w:sz w:val="18"/>
              </w:rPr>
              <w:t>6615</w:t>
            </w:r>
          </w:p>
        </w:tc>
        <w:tc>
          <w:tcPr>
            <w:tcW w:w="1860" w:type="dxa"/>
            <w:tcMar>
              <w:top w:w="0" w:type="dxa"/>
              <w:bottom w:w="0" w:type="dxa"/>
            </w:tcMar>
            <w:vAlign w:val="center"/>
          </w:tcPr>
          <w:p w:rsidR="001E30E3" w:rsidRDefault="00944454">
            <w:pPr>
              <w:keepNext/>
              <w:keepLines/>
              <w:spacing w:after="0" w:line="240" w:lineRule="auto"/>
              <w:jc w:val="right"/>
            </w:pPr>
            <w:r>
              <w:rPr>
                <w:sz w:val="18"/>
              </w:rPr>
              <w:t>3.359,50</w:t>
            </w:r>
          </w:p>
        </w:tc>
        <w:tc>
          <w:tcPr>
            <w:tcW w:w="1860" w:type="dxa"/>
            <w:tcMar>
              <w:top w:w="0" w:type="dxa"/>
              <w:bottom w:w="0" w:type="dxa"/>
            </w:tcMar>
            <w:vAlign w:val="center"/>
          </w:tcPr>
          <w:p w:rsidR="001E30E3" w:rsidRDefault="00944454">
            <w:pPr>
              <w:keepNext/>
              <w:keepLines/>
              <w:spacing w:after="0" w:line="240" w:lineRule="auto"/>
              <w:jc w:val="right"/>
            </w:pPr>
            <w:r>
              <w:rPr>
                <w:sz w:val="18"/>
              </w:rPr>
              <w:t>4.009,80</w:t>
            </w:r>
          </w:p>
        </w:tc>
        <w:tc>
          <w:tcPr>
            <w:tcW w:w="700" w:type="dxa"/>
            <w:tcMar>
              <w:top w:w="0" w:type="dxa"/>
              <w:bottom w:w="0" w:type="dxa"/>
            </w:tcMar>
            <w:vAlign w:val="center"/>
          </w:tcPr>
          <w:p w:rsidR="001E30E3" w:rsidRDefault="00944454">
            <w:pPr>
              <w:keepNext/>
              <w:keepLines/>
              <w:spacing w:after="0" w:line="240" w:lineRule="auto"/>
              <w:jc w:val="right"/>
            </w:pPr>
            <w:r>
              <w:rPr>
                <w:sz w:val="18"/>
              </w:rPr>
              <w:t>119,4</w:t>
            </w:r>
          </w:p>
        </w:tc>
      </w:tr>
    </w:tbl>
    <w:p w:rsidR="001E30E3" w:rsidRDefault="001E30E3">
      <w:pPr>
        <w:spacing w:after="0"/>
      </w:pPr>
    </w:p>
    <w:p w:rsidR="001E30E3" w:rsidRDefault="00944454">
      <w:pPr>
        <w:spacing w:line="240" w:lineRule="auto"/>
        <w:jc w:val="both"/>
      </w:pPr>
      <w:r>
        <w:t xml:space="preserve">Prihodi od pruženih usluga odnose na najam školske sportske dvorane plesnim i odbojkaškim klubovima. Prihodi su za 650,30 eura, odnosno 19,4% veći </w:t>
      </w:r>
      <w:r>
        <w:t>nego prošle godine iz razloga što je ove godine bilo zakupljeno nešto više termina.</w:t>
      </w:r>
    </w:p>
    <w:p w:rsidR="001E30E3" w:rsidRDefault="001E30E3"/>
    <w:p w:rsidR="001E30E3" w:rsidRDefault="00944454">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6631</w:t>
            </w:r>
          </w:p>
        </w:tc>
        <w:tc>
          <w:tcPr>
            <w:tcW w:w="3180" w:type="dxa"/>
            <w:tcMar>
              <w:top w:w="0" w:type="dxa"/>
              <w:bottom w:w="0" w:type="dxa"/>
            </w:tcMar>
            <w:vAlign w:val="center"/>
          </w:tcPr>
          <w:p w:rsidR="001E30E3" w:rsidRDefault="00944454">
            <w:pPr>
              <w:keepNext/>
              <w:keepLines/>
              <w:spacing w:after="0" w:line="240" w:lineRule="auto"/>
            </w:pPr>
            <w:r>
              <w:rPr>
                <w:sz w:val="18"/>
              </w:rPr>
              <w:t>Tekuće donacije</w:t>
            </w:r>
          </w:p>
        </w:tc>
        <w:tc>
          <w:tcPr>
            <w:tcW w:w="700" w:type="dxa"/>
            <w:tcMar>
              <w:top w:w="0" w:type="dxa"/>
              <w:bottom w:w="0" w:type="dxa"/>
            </w:tcMar>
            <w:vAlign w:val="center"/>
          </w:tcPr>
          <w:p w:rsidR="001E30E3" w:rsidRDefault="00944454">
            <w:pPr>
              <w:keepNext/>
              <w:keepLines/>
              <w:spacing w:after="0" w:line="240" w:lineRule="auto"/>
            </w:pPr>
            <w:r>
              <w:rPr>
                <w:sz w:val="18"/>
              </w:rPr>
              <w:t>6631</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1.106,40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Tekuće donacije prošle godine nisu evidentirane u ovom razdoblju. Ove godine zabilježene su donacije </w:t>
      </w:r>
      <w:proofErr w:type="spellStart"/>
      <w:r>
        <w:t>žardinjera</w:t>
      </w:r>
      <w:proofErr w:type="spellEnd"/>
      <w:r>
        <w:t xml:space="preserve"> i košarica za kruh.</w:t>
      </w:r>
    </w:p>
    <w:p w:rsidR="001E30E3" w:rsidRDefault="001E30E3"/>
    <w:p w:rsidR="001E30E3" w:rsidRDefault="00944454">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w:t>
            </w:r>
            <w:r>
              <w:rPr>
                <w:b/>
                <w:sz w:val="18"/>
              </w:rPr>
              <w:t xml:space="preserve">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671</w:t>
            </w:r>
          </w:p>
        </w:tc>
        <w:tc>
          <w:tcPr>
            <w:tcW w:w="3180" w:type="dxa"/>
            <w:tcMar>
              <w:top w:w="0" w:type="dxa"/>
              <w:bottom w:w="0" w:type="dxa"/>
            </w:tcMar>
            <w:vAlign w:val="center"/>
          </w:tcPr>
          <w:p w:rsidR="001E30E3" w:rsidRDefault="00944454">
            <w:pPr>
              <w:keepNext/>
              <w:keepLines/>
              <w:spacing w:after="0" w:line="240" w:lineRule="auto"/>
            </w:pPr>
            <w:r>
              <w:rPr>
                <w:sz w:val="18"/>
              </w:rPr>
              <w:t>Prihodi iz nadležnog proračuna za financiranje redovne djelatnosti proračunskih korisnika (šifre 6711 do 6714)</w:t>
            </w:r>
          </w:p>
        </w:tc>
        <w:tc>
          <w:tcPr>
            <w:tcW w:w="700" w:type="dxa"/>
            <w:tcMar>
              <w:top w:w="0" w:type="dxa"/>
              <w:bottom w:w="0" w:type="dxa"/>
            </w:tcMar>
            <w:vAlign w:val="center"/>
          </w:tcPr>
          <w:p w:rsidR="001E30E3" w:rsidRDefault="00944454">
            <w:pPr>
              <w:keepNext/>
              <w:keepLines/>
              <w:spacing w:after="0" w:line="240" w:lineRule="auto"/>
            </w:pPr>
            <w:r>
              <w:rPr>
                <w:sz w:val="18"/>
              </w:rPr>
              <w:t>671</w:t>
            </w:r>
          </w:p>
        </w:tc>
        <w:tc>
          <w:tcPr>
            <w:tcW w:w="1860" w:type="dxa"/>
            <w:tcMar>
              <w:top w:w="0" w:type="dxa"/>
              <w:bottom w:w="0" w:type="dxa"/>
            </w:tcMar>
            <w:vAlign w:val="center"/>
          </w:tcPr>
          <w:p w:rsidR="001E30E3" w:rsidRDefault="00944454">
            <w:pPr>
              <w:keepNext/>
              <w:keepLines/>
              <w:spacing w:after="0" w:line="240" w:lineRule="auto"/>
              <w:jc w:val="right"/>
            </w:pPr>
            <w:r>
              <w:rPr>
                <w:sz w:val="18"/>
              </w:rPr>
              <w:t>127.456,34</w:t>
            </w:r>
          </w:p>
        </w:tc>
        <w:tc>
          <w:tcPr>
            <w:tcW w:w="1860" w:type="dxa"/>
            <w:tcMar>
              <w:top w:w="0" w:type="dxa"/>
              <w:bottom w:w="0" w:type="dxa"/>
            </w:tcMar>
            <w:vAlign w:val="center"/>
          </w:tcPr>
          <w:p w:rsidR="001E30E3" w:rsidRDefault="00944454">
            <w:pPr>
              <w:keepNext/>
              <w:keepLines/>
              <w:spacing w:after="0" w:line="240" w:lineRule="auto"/>
              <w:jc w:val="right"/>
            </w:pPr>
            <w:r>
              <w:rPr>
                <w:sz w:val="18"/>
              </w:rPr>
              <w:t>167.899,13</w:t>
            </w:r>
          </w:p>
        </w:tc>
        <w:tc>
          <w:tcPr>
            <w:tcW w:w="700" w:type="dxa"/>
            <w:tcMar>
              <w:top w:w="0" w:type="dxa"/>
              <w:bottom w:w="0" w:type="dxa"/>
            </w:tcMar>
            <w:vAlign w:val="center"/>
          </w:tcPr>
          <w:p w:rsidR="001E30E3" w:rsidRDefault="00944454">
            <w:pPr>
              <w:keepNext/>
              <w:keepLines/>
              <w:spacing w:after="0" w:line="240" w:lineRule="auto"/>
              <w:jc w:val="right"/>
            </w:pPr>
            <w:r>
              <w:rPr>
                <w:sz w:val="18"/>
              </w:rPr>
              <w:t>131,7</w:t>
            </w:r>
          </w:p>
        </w:tc>
      </w:tr>
    </w:tbl>
    <w:p w:rsidR="001E30E3" w:rsidRDefault="001E30E3">
      <w:pPr>
        <w:spacing w:after="0"/>
      </w:pPr>
    </w:p>
    <w:p w:rsidR="001E30E3" w:rsidRDefault="00944454">
      <w:pPr>
        <w:spacing w:line="240" w:lineRule="auto"/>
        <w:jc w:val="both"/>
      </w:pPr>
      <w:r>
        <w:t xml:space="preserve">Prihodi iz nadležnog </w:t>
      </w:r>
      <w:r>
        <w:t xml:space="preserve">gradskog proračuna u prvoj polovici ove godine veći su za 40.442,79 eura (31,7%) zbog povećanja osnovice za obračun plaća učiteljicama u produženom boravku, za financiranje dijela plaće pomoćnicima u nastavi u sklopu projekta PONOS V za djecu s teškoćama, </w:t>
      </w:r>
      <w:r>
        <w:t>a najvećim dijelom zbog povećanja rashoda poslovanja.</w:t>
      </w:r>
    </w:p>
    <w:p w:rsidR="001E30E3" w:rsidRDefault="001E30E3"/>
    <w:p w:rsidR="001E30E3" w:rsidRDefault="00944454">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311</w:t>
            </w:r>
          </w:p>
        </w:tc>
        <w:tc>
          <w:tcPr>
            <w:tcW w:w="3180" w:type="dxa"/>
            <w:tcMar>
              <w:top w:w="0" w:type="dxa"/>
              <w:bottom w:w="0" w:type="dxa"/>
            </w:tcMar>
            <w:vAlign w:val="center"/>
          </w:tcPr>
          <w:p w:rsidR="001E30E3" w:rsidRDefault="00944454">
            <w:pPr>
              <w:keepNext/>
              <w:keepLines/>
              <w:spacing w:after="0" w:line="240" w:lineRule="auto"/>
            </w:pPr>
            <w:r>
              <w:rPr>
                <w:sz w:val="18"/>
              </w:rPr>
              <w:t>Plaće (bruto) (šifre 3111 do 3114)</w:t>
            </w:r>
          </w:p>
        </w:tc>
        <w:tc>
          <w:tcPr>
            <w:tcW w:w="700" w:type="dxa"/>
            <w:tcMar>
              <w:top w:w="0" w:type="dxa"/>
              <w:bottom w:w="0" w:type="dxa"/>
            </w:tcMar>
            <w:vAlign w:val="center"/>
          </w:tcPr>
          <w:p w:rsidR="001E30E3" w:rsidRDefault="00944454">
            <w:pPr>
              <w:keepNext/>
              <w:keepLines/>
              <w:spacing w:after="0" w:line="240" w:lineRule="auto"/>
            </w:pPr>
            <w:r>
              <w:rPr>
                <w:sz w:val="18"/>
              </w:rPr>
              <w:t>311</w:t>
            </w:r>
          </w:p>
        </w:tc>
        <w:tc>
          <w:tcPr>
            <w:tcW w:w="1860" w:type="dxa"/>
            <w:tcMar>
              <w:top w:w="0" w:type="dxa"/>
              <w:bottom w:w="0" w:type="dxa"/>
            </w:tcMar>
            <w:vAlign w:val="center"/>
          </w:tcPr>
          <w:p w:rsidR="001E30E3" w:rsidRDefault="00944454">
            <w:pPr>
              <w:keepNext/>
              <w:keepLines/>
              <w:spacing w:after="0" w:line="240" w:lineRule="auto"/>
              <w:jc w:val="right"/>
            </w:pPr>
            <w:r>
              <w:rPr>
                <w:sz w:val="18"/>
              </w:rPr>
              <w:t>448.079,96</w:t>
            </w:r>
          </w:p>
        </w:tc>
        <w:tc>
          <w:tcPr>
            <w:tcW w:w="1860" w:type="dxa"/>
            <w:tcMar>
              <w:top w:w="0" w:type="dxa"/>
              <w:bottom w:w="0" w:type="dxa"/>
            </w:tcMar>
            <w:vAlign w:val="center"/>
          </w:tcPr>
          <w:p w:rsidR="001E30E3" w:rsidRDefault="00944454">
            <w:pPr>
              <w:keepNext/>
              <w:keepLines/>
              <w:spacing w:after="0" w:line="240" w:lineRule="auto"/>
              <w:jc w:val="right"/>
            </w:pPr>
            <w:r>
              <w:rPr>
                <w:sz w:val="18"/>
              </w:rPr>
              <w:t>591.553,61</w:t>
            </w:r>
          </w:p>
        </w:tc>
        <w:tc>
          <w:tcPr>
            <w:tcW w:w="700" w:type="dxa"/>
            <w:tcMar>
              <w:top w:w="0" w:type="dxa"/>
              <w:bottom w:w="0" w:type="dxa"/>
            </w:tcMar>
            <w:vAlign w:val="center"/>
          </w:tcPr>
          <w:p w:rsidR="001E30E3" w:rsidRDefault="00944454">
            <w:pPr>
              <w:keepNext/>
              <w:keepLines/>
              <w:spacing w:after="0" w:line="240" w:lineRule="auto"/>
              <w:jc w:val="right"/>
            </w:pPr>
            <w:r>
              <w:rPr>
                <w:sz w:val="18"/>
              </w:rPr>
              <w:t>132,0</w:t>
            </w:r>
          </w:p>
        </w:tc>
      </w:tr>
    </w:tbl>
    <w:p w:rsidR="001E30E3" w:rsidRDefault="001E30E3">
      <w:pPr>
        <w:spacing w:after="0"/>
      </w:pPr>
    </w:p>
    <w:p w:rsidR="001E30E3" w:rsidRDefault="00944454">
      <w:pPr>
        <w:spacing w:line="240" w:lineRule="auto"/>
        <w:jc w:val="both"/>
      </w:pPr>
      <w:r>
        <w:t xml:space="preserve">Iznosi za plaće veći su za 32% ili 143.473,65 eura zbog većeg broja zaposlenih, ali i povećanja osnovice za obračun plaće prema dodatku kolektivnom ugovoru za državne službenike i namještenike i namještenike u javnim </w:t>
      </w:r>
      <w:r>
        <w:t>službama. Veći je iznos plaće za posebne uvjete rada, za rad s djecom po prilagođenom programu.</w:t>
      </w:r>
    </w:p>
    <w:p w:rsidR="001E30E3" w:rsidRDefault="001E30E3"/>
    <w:p w:rsidR="001E30E3" w:rsidRDefault="00944454">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r>
              <w:rPr>
                <w:b/>
                <w:sz w:val="18"/>
              </w:rPr>
              <w:t>%)</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313</w:t>
            </w:r>
          </w:p>
        </w:tc>
        <w:tc>
          <w:tcPr>
            <w:tcW w:w="3180" w:type="dxa"/>
            <w:tcMar>
              <w:top w:w="0" w:type="dxa"/>
              <w:bottom w:w="0" w:type="dxa"/>
            </w:tcMar>
            <w:vAlign w:val="center"/>
          </w:tcPr>
          <w:p w:rsidR="001E30E3" w:rsidRDefault="00944454">
            <w:pPr>
              <w:keepNext/>
              <w:keepLines/>
              <w:spacing w:after="0" w:line="240" w:lineRule="auto"/>
            </w:pPr>
            <w:r>
              <w:rPr>
                <w:sz w:val="18"/>
              </w:rPr>
              <w:t>Doprinosi na plaće (šifre 3131 do 3133)</w:t>
            </w:r>
          </w:p>
        </w:tc>
        <w:tc>
          <w:tcPr>
            <w:tcW w:w="700" w:type="dxa"/>
            <w:tcMar>
              <w:top w:w="0" w:type="dxa"/>
              <w:bottom w:w="0" w:type="dxa"/>
            </w:tcMar>
            <w:vAlign w:val="center"/>
          </w:tcPr>
          <w:p w:rsidR="001E30E3" w:rsidRDefault="00944454">
            <w:pPr>
              <w:keepNext/>
              <w:keepLines/>
              <w:spacing w:after="0" w:line="240" w:lineRule="auto"/>
            </w:pPr>
            <w:r>
              <w:rPr>
                <w:sz w:val="18"/>
              </w:rPr>
              <w:t>313</w:t>
            </w:r>
          </w:p>
        </w:tc>
        <w:tc>
          <w:tcPr>
            <w:tcW w:w="1860" w:type="dxa"/>
            <w:tcMar>
              <w:top w:w="0" w:type="dxa"/>
              <w:bottom w:w="0" w:type="dxa"/>
            </w:tcMar>
            <w:vAlign w:val="center"/>
          </w:tcPr>
          <w:p w:rsidR="001E30E3" w:rsidRDefault="00944454">
            <w:pPr>
              <w:keepNext/>
              <w:keepLines/>
              <w:spacing w:after="0" w:line="240" w:lineRule="auto"/>
              <w:jc w:val="right"/>
            </w:pPr>
            <w:r>
              <w:rPr>
                <w:sz w:val="18"/>
              </w:rPr>
              <w:t>74.048,02</w:t>
            </w:r>
          </w:p>
        </w:tc>
        <w:tc>
          <w:tcPr>
            <w:tcW w:w="1860" w:type="dxa"/>
            <w:tcMar>
              <w:top w:w="0" w:type="dxa"/>
              <w:bottom w:w="0" w:type="dxa"/>
            </w:tcMar>
            <w:vAlign w:val="center"/>
          </w:tcPr>
          <w:p w:rsidR="001E30E3" w:rsidRDefault="00944454">
            <w:pPr>
              <w:keepNext/>
              <w:keepLines/>
              <w:spacing w:after="0" w:line="240" w:lineRule="auto"/>
              <w:jc w:val="right"/>
            </w:pPr>
            <w:r>
              <w:rPr>
                <w:sz w:val="18"/>
              </w:rPr>
              <w:t>97.614,26</w:t>
            </w:r>
          </w:p>
        </w:tc>
        <w:tc>
          <w:tcPr>
            <w:tcW w:w="700" w:type="dxa"/>
            <w:tcMar>
              <w:top w:w="0" w:type="dxa"/>
              <w:bottom w:w="0" w:type="dxa"/>
            </w:tcMar>
            <w:vAlign w:val="center"/>
          </w:tcPr>
          <w:p w:rsidR="001E30E3" w:rsidRDefault="00944454">
            <w:pPr>
              <w:keepNext/>
              <w:keepLines/>
              <w:spacing w:after="0" w:line="240" w:lineRule="auto"/>
              <w:jc w:val="right"/>
            </w:pPr>
            <w:r>
              <w:rPr>
                <w:sz w:val="18"/>
              </w:rPr>
              <w:t>131,8</w:t>
            </w:r>
          </w:p>
        </w:tc>
      </w:tr>
    </w:tbl>
    <w:p w:rsidR="001E30E3" w:rsidRDefault="001E30E3">
      <w:pPr>
        <w:spacing w:after="0"/>
      </w:pPr>
    </w:p>
    <w:p w:rsidR="001E30E3" w:rsidRDefault="00944454">
      <w:pPr>
        <w:spacing w:line="240" w:lineRule="auto"/>
        <w:jc w:val="both"/>
      </w:pPr>
      <w:r>
        <w:t>Iznos doprinosa za plaću također je veći iz već navedenog razloga povećanja broja zaposlenih i povećanja osnovice za obračun plaće.</w:t>
      </w:r>
    </w:p>
    <w:p w:rsidR="001E30E3" w:rsidRDefault="001E30E3"/>
    <w:p w:rsidR="001E30E3" w:rsidRDefault="00944454">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3211</w:t>
            </w:r>
          </w:p>
        </w:tc>
        <w:tc>
          <w:tcPr>
            <w:tcW w:w="3180" w:type="dxa"/>
            <w:tcMar>
              <w:top w:w="0" w:type="dxa"/>
              <w:bottom w:w="0" w:type="dxa"/>
            </w:tcMar>
            <w:vAlign w:val="center"/>
          </w:tcPr>
          <w:p w:rsidR="001E30E3" w:rsidRDefault="00944454">
            <w:pPr>
              <w:keepNext/>
              <w:keepLines/>
              <w:spacing w:after="0" w:line="240" w:lineRule="auto"/>
            </w:pPr>
            <w:r>
              <w:rPr>
                <w:sz w:val="18"/>
              </w:rPr>
              <w:t>Službena putovanja</w:t>
            </w:r>
          </w:p>
        </w:tc>
        <w:tc>
          <w:tcPr>
            <w:tcW w:w="700" w:type="dxa"/>
            <w:tcMar>
              <w:top w:w="0" w:type="dxa"/>
              <w:bottom w:w="0" w:type="dxa"/>
            </w:tcMar>
            <w:vAlign w:val="center"/>
          </w:tcPr>
          <w:p w:rsidR="001E30E3" w:rsidRDefault="00944454">
            <w:pPr>
              <w:keepNext/>
              <w:keepLines/>
              <w:spacing w:after="0" w:line="240" w:lineRule="auto"/>
            </w:pPr>
            <w:r>
              <w:rPr>
                <w:sz w:val="18"/>
              </w:rPr>
              <w:t>3211</w:t>
            </w:r>
          </w:p>
        </w:tc>
        <w:tc>
          <w:tcPr>
            <w:tcW w:w="1860" w:type="dxa"/>
            <w:tcMar>
              <w:top w:w="0" w:type="dxa"/>
              <w:bottom w:w="0" w:type="dxa"/>
            </w:tcMar>
            <w:vAlign w:val="center"/>
          </w:tcPr>
          <w:p w:rsidR="001E30E3" w:rsidRDefault="00944454">
            <w:pPr>
              <w:keepNext/>
              <w:keepLines/>
              <w:spacing w:after="0" w:line="240" w:lineRule="auto"/>
              <w:jc w:val="right"/>
            </w:pPr>
            <w:r>
              <w:rPr>
                <w:sz w:val="18"/>
              </w:rPr>
              <w:t>3.410,38</w:t>
            </w:r>
          </w:p>
        </w:tc>
        <w:tc>
          <w:tcPr>
            <w:tcW w:w="1860" w:type="dxa"/>
            <w:tcMar>
              <w:top w:w="0" w:type="dxa"/>
              <w:bottom w:w="0" w:type="dxa"/>
            </w:tcMar>
            <w:vAlign w:val="center"/>
          </w:tcPr>
          <w:p w:rsidR="001E30E3" w:rsidRDefault="00944454">
            <w:pPr>
              <w:keepNext/>
              <w:keepLines/>
              <w:spacing w:after="0" w:line="240" w:lineRule="auto"/>
              <w:jc w:val="right"/>
            </w:pPr>
            <w:r>
              <w:rPr>
                <w:sz w:val="18"/>
              </w:rPr>
              <w:t>3.926,22</w:t>
            </w:r>
          </w:p>
        </w:tc>
        <w:tc>
          <w:tcPr>
            <w:tcW w:w="700" w:type="dxa"/>
            <w:tcMar>
              <w:top w:w="0" w:type="dxa"/>
              <w:bottom w:w="0" w:type="dxa"/>
            </w:tcMar>
            <w:vAlign w:val="center"/>
          </w:tcPr>
          <w:p w:rsidR="001E30E3" w:rsidRDefault="00944454">
            <w:pPr>
              <w:keepNext/>
              <w:keepLines/>
              <w:spacing w:after="0" w:line="240" w:lineRule="auto"/>
              <w:jc w:val="right"/>
            </w:pPr>
            <w:r>
              <w:rPr>
                <w:sz w:val="18"/>
              </w:rPr>
              <w:t>115,1</w:t>
            </w:r>
          </w:p>
        </w:tc>
      </w:tr>
    </w:tbl>
    <w:p w:rsidR="001E30E3" w:rsidRDefault="001E30E3">
      <w:pPr>
        <w:spacing w:after="0"/>
      </w:pPr>
    </w:p>
    <w:p w:rsidR="001E30E3" w:rsidRDefault="00944454">
      <w:pPr>
        <w:spacing w:line="240" w:lineRule="auto"/>
        <w:jc w:val="both"/>
      </w:pPr>
      <w:r>
        <w:t xml:space="preserve">Iznos za službena putovanja veći je za 15,1% ili 515,84 eura iz razloga što je </w:t>
      </w:r>
      <w:r>
        <w:t>iskazan veći interes zaposlenika za stručnim usavršavanjem.</w:t>
      </w:r>
    </w:p>
    <w:p w:rsidR="001E30E3" w:rsidRDefault="001E30E3"/>
    <w:p w:rsidR="001E30E3" w:rsidRDefault="00944454">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3212</w:t>
            </w:r>
          </w:p>
        </w:tc>
        <w:tc>
          <w:tcPr>
            <w:tcW w:w="3180" w:type="dxa"/>
            <w:tcMar>
              <w:top w:w="0" w:type="dxa"/>
              <w:bottom w:w="0" w:type="dxa"/>
            </w:tcMar>
            <w:vAlign w:val="center"/>
          </w:tcPr>
          <w:p w:rsidR="001E30E3" w:rsidRDefault="00944454">
            <w:pPr>
              <w:keepNext/>
              <w:keepLines/>
              <w:spacing w:after="0" w:line="240" w:lineRule="auto"/>
            </w:pPr>
            <w:r>
              <w:rPr>
                <w:sz w:val="18"/>
              </w:rPr>
              <w:t xml:space="preserve">Naknade za prijevoz, za </w:t>
            </w:r>
            <w:r>
              <w:rPr>
                <w:sz w:val="18"/>
              </w:rPr>
              <w:t>rad na terenu i odvojeni život</w:t>
            </w:r>
          </w:p>
        </w:tc>
        <w:tc>
          <w:tcPr>
            <w:tcW w:w="700" w:type="dxa"/>
            <w:tcMar>
              <w:top w:w="0" w:type="dxa"/>
              <w:bottom w:w="0" w:type="dxa"/>
            </w:tcMar>
            <w:vAlign w:val="center"/>
          </w:tcPr>
          <w:p w:rsidR="001E30E3" w:rsidRDefault="00944454">
            <w:pPr>
              <w:keepNext/>
              <w:keepLines/>
              <w:spacing w:after="0" w:line="240" w:lineRule="auto"/>
            </w:pPr>
            <w:r>
              <w:rPr>
                <w:sz w:val="18"/>
              </w:rPr>
              <w:t>3212</w:t>
            </w:r>
          </w:p>
        </w:tc>
        <w:tc>
          <w:tcPr>
            <w:tcW w:w="1860" w:type="dxa"/>
            <w:tcMar>
              <w:top w:w="0" w:type="dxa"/>
              <w:bottom w:w="0" w:type="dxa"/>
            </w:tcMar>
            <w:vAlign w:val="center"/>
          </w:tcPr>
          <w:p w:rsidR="001E30E3" w:rsidRDefault="00944454">
            <w:pPr>
              <w:keepNext/>
              <w:keepLines/>
              <w:spacing w:after="0" w:line="240" w:lineRule="auto"/>
              <w:jc w:val="right"/>
            </w:pPr>
            <w:r>
              <w:rPr>
                <w:sz w:val="18"/>
              </w:rPr>
              <w:t>8.477,15</w:t>
            </w:r>
          </w:p>
        </w:tc>
        <w:tc>
          <w:tcPr>
            <w:tcW w:w="1860" w:type="dxa"/>
            <w:tcMar>
              <w:top w:w="0" w:type="dxa"/>
              <w:bottom w:w="0" w:type="dxa"/>
            </w:tcMar>
            <w:vAlign w:val="center"/>
          </w:tcPr>
          <w:p w:rsidR="001E30E3" w:rsidRDefault="00944454">
            <w:pPr>
              <w:keepNext/>
              <w:keepLines/>
              <w:spacing w:after="0" w:line="240" w:lineRule="auto"/>
              <w:jc w:val="right"/>
            </w:pPr>
            <w:r>
              <w:rPr>
                <w:sz w:val="18"/>
              </w:rPr>
              <w:t>12.394,50</w:t>
            </w:r>
          </w:p>
        </w:tc>
        <w:tc>
          <w:tcPr>
            <w:tcW w:w="700" w:type="dxa"/>
            <w:tcMar>
              <w:top w:w="0" w:type="dxa"/>
              <w:bottom w:w="0" w:type="dxa"/>
            </w:tcMar>
            <w:vAlign w:val="center"/>
          </w:tcPr>
          <w:p w:rsidR="001E30E3" w:rsidRDefault="00944454">
            <w:pPr>
              <w:keepNext/>
              <w:keepLines/>
              <w:spacing w:after="0" w:line="240" w:lineRule="auto"/>
              <w:jc w:val="right"/>
            </w:pPr>
            <w:r>
              <w:rPr>
                <w:sz w:val="18"/>
              </w:rPr>
              <w:t>146,2</w:t>
            </w:r>
          </w:p>
        </w:tc>
      </w:tr>
    </w:tbl>
    <w:p w:rsidR="001E30E3" w:rsidRDefault="001E30E3">
      <w:pPr>
        <w:spacing w:after="0"/>
      </w:pPr>
    </w:p>
    <w:p w:rsidR="001E30E3" w:rsidRDefault="00944454">
      <w:pPr>
        <w:spacing w:line="240" w:lineRule="auto"/>
        <w:jc w:val="both"/>
      </w:pPr>
      <w:r>
        <w:t xml:space="preserve">Naknade za prijevoz obuhvaćaju troškove prijevoza na posao za sve zaposlenike, učiteljice u produženom boravku i pomoćnike u nastavi, a iznos je veći 46,20% u odnosu na prošlu godinu  jer više </w:t>
      </w:r>
      <w:r>
        <w:t>je zaposlenika koji ostvaruju pravo na naknadu za prijevoz i veći su troškovi prijevoza.</w:t>
      </w:r>
    </w:p>
    <w:p w:rsidR="001E30E3" w:rsidRDefault="001E30E3"/>
    <w:p w:rsidR="001E30E3" w:rsidRDefault="00944454">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3213</w:t>
            </w:r>
          </w:p>
        </w:tc>
        <w:tc>
          <w:tcPr>
            <w:tcW w:w="3180" w:type="dxa"/>
            <w:tcMar>
              <w:top w:w="0" w:type="dxa"/>
              <w:bottom w:w="0" w:type="dxa"/>
            </w:tcMar>
            <w:vAlign w:val="center"/>
          </w:tcPr>
          <w:p w:rsidR="001E30E3" w:rsidRDefault="00944454">
            <w:pPr>
              <w:keepNext/>
              <w:keepLines/>
              <w:spacing w:after="0" w:line="240" w:lineRule="auto"/>
            </w:pPr>
            <w:r>
              <w:rPr>
                <w:sz w:val="18"/>
              </w:rPr>
              <w:t>Stručno usavršavanje zaposlenika</w:t>
            </w:r>
          </w:p>
        </w:tc>
        <w:tc>
          <w:tcPr>
            <w:tcW w:w="700" w:type="dxa"/>
            <w:tcMar>
              <w:top w:w="0" w:type="dxa"/>
              <w:bottom w:w="0" w:type="dxa"/>
            </w:tcMar>
            <w:vAlign w:val="center"/>
          </w:tcPr>
          <w:p w:rsidR="001E30E3" w:rsidRDefault="00944454">
            <w:pPr>
              <w:keepNext/>
              <w:keepLines/>
              <w:spacing w:after="0" w:line="240" w:lineRule="auto"/>
            </w:pPr>
            <w:r>
              <w:rPr>
                <w:sz w:val="18"/>
              </w:rPr>
              <w:t>3213</w:t>
            </w:r>
          </w:p>
        </w:tc>
        <w:tc>
          <w:tcPr>
            <w:tcW w:w="1860" w:type="dxa"/>
            <w:tcMar>
              <w:top w:w="0" w:type="dxa"/>
              <w:bottom w:w="0" w:type="dxa"/>
            </w:tcMar>
            <w:vAlign w:val="center"/>
          </w:tcPr>
          <w:p w:rsidR="001E30E3" w:rsidRDefault="00944454">
            <w:pPr>
              <w:keepNext/>
              <w:keepLines/>
              <w:spacing w:after="0" w:line="240" w:lineRule="auto"/>
              <w:jc w:val="right"/>
            </w:pPr>
            <w:r>
              <w:rPr>
                <w:sz w:val="18"/>
              </w:rPr>
              <w:t>331,00</w:t>
            </w:r>
          </w:p>
        </w:tc>
        <w:tc>
          <w:tcPr>
            <w:tcW w:w="1860" w:type="dxa"/>
            <w:tcMar>
              <w:top w:w="0" w:type="dxa"/>
              <w:bottom w:w="0" w:type="dxa"/>
            </w:tcMar>
            <w:vAlign w:val="center"/>
          </w:tcPr>
          <w:p w:rsidR="001E30E3" w:rsidRDefault="00944454">
            <w:pPr>
              <w:keepNext/>
              <w:keepLines/>
              <w:spacing w:after="0" w:line="240" w:lineRule="auto"/>
              <w:jc w:val="right"/>
            </w:pPr>
            <w:r>
              <w:rPr>
                <w:sz w:val="18"/>
              </w:rPr>
              <w:t>1.036,75</w:t>
            </w:r>
          </w:p>
        </w:tc>
        <w:tc>
          <w:tcPr>
            <w:tcW w:w="700" w:type="dxa"/>
            <w:tcMar>
              <w:top w:w="0" w:type="dxa"/>
              <w:bottom w:w="0" w:type="dxa"/>
            </w:tcMar>
            <w:vAlign w:val="center"/>
          </w:tcPr>
          <w:p w:rsidR="001E30E3" w:rsidRDefault="00944454">
            <w:pPr>
              <w:keepNext/>
              <w:keepLines/>
              <w:spacing w:after="0" w:line="240" w:lineRule="auto"/>
              <w:jc w:val="right"/>
            </w:pPr>
            <w:r>
              <w:rPr>
                <w:sz w:val="18"/>
              </w:rPr>
              <w:t>313,2</w:t>
            </w:r>
          </w:p>
        </w:tc>
      </w:tr>
    </w:tbl>
    <w:p w:rsidR="001E30E3" w:rsidRDefault="001E30E3">
      <w:pPr>
        <w:spacing w:after="0"/>
      </w:pPr>
    </w:p>
    <w:p w:rsidR="001E30E3" w:rsidRDefault="00944454">
      <w:pPr>
        <w:spacing w:line="240" w:lineRule="auto"/>
        <w:jc w:val="both"/>
      </w:pPr>
      <w:r>
        <w:t xml:space="preserve">Troškovi za stručno usavršavanje zaposlenika veći su nego u istom razdoblju prošle godine jer je veći broj zaposlenika prisustvovao seminarima, </w:t>
      </w:r>
      <w:proofErr w:type="spellStart"/>
      <w:r>
        <w:t>webinarima</w:t>
      </w:r>
      <w:proofErr w:type="spellEnd"/>
      <w:r>
        <w:t xml:space="preserve"> i ostalim stručnim edukacijama. </w:t>
      </w:r>
      <w:r>
        <w:t>Iznos je veći za 705,75 eura od prošle godine.</w:t>
      </w:r>
    </w:p>
    <w:p w:rsidR="001E30E3" w:rsidRDefault="001E30E3"/>
    <w:p w:rsidR="001E30E3" w:rsidRDefault="00944454">
      <w:pPr>
        <w:keepNext/>
        <w:spacing w:line="240" w:lineRule="auto"/>
        <w:jc w:val="center"/>
      </w:pPr>
      <w:r>
        <w:rPr>
          <w:sz w:val="28"/>
        </w:rPr>
        <w:lastRenderedPageBreak/>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3221</w:t>
            </w:r>
          </w:p>
        </w:tc>
        <w:tc>
          <w:tcPr>
            <w:tcW w:w="3180" w:type="dxa"/>
            <w:tcMar>
              <w:top w:w="0" w:type="dxa"/>
              <w:bottom w:w="0" w:type="dxa"/>
            </w:tcMar>
            <w:vAlign w:val="center"/>
          </w:tcPr>
          <w:p w:rsidR="001E30E3" w:rsidRDefault="00944454">
            <w:pPr>
              <w:keepNext/>
              <w:keepLines/>
              <w:spacing w:after="0" w:line="240" w:lineRule="auto"/>
            </w:pPr>
            <w:r>
              <w:rPr>
                <w:sz w:val="18"/>
              </w:rPr>
              <w:t xml:space="preserve">Uredski materijal i ostali materijalni </w:t>
            </w:r>
            <w:r>
              <w:rPr>
                <w:sz w:val="18"/>
              </w:rPr>
              <w:t>rashodi</w:t>
            </w:r>
          </w:p>
        </w:tc>
        <w:tc>
          <w:tcPr>
            <w:tcW w:w="700" w:type="dxa"/>
            <w:tcMar>
              <w:top w:w="0" w:type="dxa"/>
              <w:bottom w:w="0" w:type="dxa"/>
            </w:tcMar>
            <w:vAlign w:val="center"/>
          </w:tcPr>
          <w:p w:rsidR="001E30E3" w:rsidRDefault="00944454">
            <w:pPr>
              <w:keepNext/>
              <w:keepLines/>
              <w:spacing w:after="0" w:line="240" w:lineRule="auto"/>
            </w:pPr>
            <w:r>
              <w:rPr>
                <w:sz w:val="18"/>
              </w:rPr>
              <w:t>3221</w:t>
            </w:r>
          </w:p>
        </w:tc>
        <w:tc>
          <w:tcPr>
            <w:tcW w:w="1860" w:type="dxa"/>
            <w:tcMar>
              <w:top w:w="0" w:type="dxa"/>
              <w:bottom w:w="0" w:type="dxa"/>
            </w:tcMar>
            <w:vAlign w:val="center"/>
          </w:tcPr>
          <w:p w:rsidR="001E30E3" w:rsidRDefault="00944454">
            <w:pPr>
              <w:keepNext/>
              <w:keepLines/>
              <w:spacing w:after="0" w:line="240" w:lineRule="auto"/>
              <w:jc w:val="right"/>
            </w:pPr>
            <w:r>
              <w:rPr>
                <w:sz w:val="18"/>
              </w:rPr>
              <w:t>6.025,38</w:t>
            </w:r>
          </w:p>
        </w:tc>
        <w:tc>
          <w:tcPr>
            <w:tcW w:w="1860" w:type="dxa"/>
            <w:tcMar>
              <w:top w:w="0" w:type="dxa"/>
              <w:bottom w:w="0" w:type="dxa"/>
            </w:tcMar>
            <w:vAlign w:val="center"/>
          </w:tcPr>
          <w:p w:rsidR="001E30E3" w:rsidRDefault="00944454">
            <w:pPr>
              <w:keepNext/>
              <w:keepLines/>
              <w:spacing w:after="0" w:line="240" w:lineRule="auto"/>
              <w:jc w:val="right"/>
            </w:pPr>
            <w:r>
              <w:rPr>
                <w:sz w:val="18"/>
              </w:rPr>
              <w:t>9.363,88</w:t>
            </w:r>
          </w:p>
        </w:tc>
        <w:tc>
          <w:tcPr>
            <w:tcW w:w="700" w:type="dxa"/>
            <w:tcMar>
              <w:top w:w="0" w:type="dxa"/>
              <w:bottom w:w="0" w:type="dxa"/>
            </w:tcMar>
            <w:vAlign w:val="center"/>
          </w:tcPr>
          <w:p w:rsidR="001E30E3" w:rsidRDefault="00944454">
            <w:pPr>
              <w:keepNext/>
              <w:keepLines/>
              <w:spacing w:after="0" w:line="240" w:lineRule="auto"/>
              <w:jc w:val="right"/>
            </w:pPr>
            <w:r>
              <w:rPr>
                <w:sz w:val="18"/>
              </w:rPr>
              <w:t>155,4</w:t>
            </w:r>
          </w:p>
        </w:tc>
      </w:tr>
    </w:tbl>
    <w:p w:rsidR="001E30E3" w:rsidRDefault="001E30E3">
      <w:pPr>
        <w:spacing w:after="0"/>
      </w:pPr>
    </w:p>
    <w:p w:rsidR="001E30E3" w:rsidRDefault="00944454">
      <w:pPr>
        <w:spacing w:line="240" w:lineRule="auto"/>
        <w:jc w:val="both"/>
      </w:pPr>
      <w:r>
        <w:t xml:space="preserve">Troškovi uredskog materijala, materijala za čišćenje i higijenu porasli su u odnosu na prošlu godinu. Iznos je veći za 3.338,50 eura ili 55,4% zbog porasta cijena navedenih materijala. Tu su također evidentirani i </w:t>
      </w:r>
      <w:r>
        <w:t>rashodi za provedbe raznih radionica i aktivnosti.</w:t>
      </w:r>
    </w:p>
    <w:p w:rsidR="001E30E3" w:rsidRDefault="001E30E3"/>
    <w:p w:rsidR="001E30E3" w:rsidRDefault="00944454">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3222</w:t>
            </w:r>
          </w:p>
        </w:tc>
        <w:tc>
          <w:tcPr>
            <w:tcW w:w="3180" w:type="dxa"/>
            <w:tcMar>
              <w:top w:w="0" w:type="dxa"/>
              <w:bottom w:w="0" w:type="dxa"/>
            </w:tcMar>
            <w:vAlign w:val="center"/>
          </w:tcPr>
          <w:p w:rsidR="001E30E3" w:rsidRDefault="00944454">
            <w:pPr>
              <w:keepNext/>
              <w:keepLines/>
              <w:spacing w:after="0" w:line="240" w:lineRule="auto"/>
            </w:pPr>
            <w:r>
              <w:rPr>
                <w:sz w:val="18"/>
              </w:rPr>
              <w:t>Materijal i sirovine</w:t>
            </w:r>
          </w:p>
        </w:tc>
        <w:tc>
          <w:tcPr>
            <w:tcW w:w="700" w:type="dxa"/>
            <w:tcMar>
              <w:top w:w="0" w:type="dxa"/>
              <w:bottom w:w="0" w:type="dxa"/>
            </w:tcMar>
            <w:vAlign w:val="center"/>
          </w:tcPr>
          <w:p w:rsidR="001E30E3" w:rsidRDefault="00944454">
            <w:pPr>
              <w:keepNext/>
              <w:keepLines/>
              <w:spacing w:after="0" w:line="240" w:lineRule="auto"/>
            </w:pPr>
            <w:r>
              <w:rPr>
                <w:sz w:val="18"/>
              </w:rPr>
              <w:t>3222</w:t>
            </w:r>
          </w:p>
        </w:tc>
        <w:tc>
          <w:tcPr>
            <w:tcW w:w="1860" w:type="dxa"/>
            <w:tcMar>
              <w:top w:w="0" w:type="dxa"/>
              <w:bottom w:w="0" w:type="dxa"/>
            </w:tcMar>
            <w:vAlign w:val="center"/>
          </w:tcPr>
          <w:p w:rsidR="001E30E3" w:rsidRDefault="00944454">
            <w:pPr>
              <w:keepNext/>
              <w:keepLines/>
              <w:spacing w:after="0" w:line="240" w:lineRule="auto"/>
              <w:jc w:val="right"/>
            </w:pPr>
            <w:r>
              <w:rPr>
                <w:sz w:val="18"/>
              </w:rPr>
              <w:t>37.369,51</w:t>
            </w:r>
          </w:p>
        </w:tc>
        <w:tc>
          <w:tcPr>
            <w:tcW w:w="1860" w:type="dxa"/>
            <w:tcMar>
              <w:top w:w="0" w:type="dxa"/>
              <w:bottom w:w="0" w:type="dxa"/>
            </w:tcMar>
            <w:vAlign w:val="center"/>
          </w:tcPr>
          <w:p w:rsidR="001E30E3" w:rsidRDefault="00944454">
            <w:pPr>
              <w:keepNext/>
              <w:keepLines/>
              <w:spacing w:after="0" w:line="240" w:lineRule="auto"/>
              <w:jc w:val="right"/>
            </w:pPr>
            <w:r>
              <w:rPr>
                <w:sz w:val="18"/>
              </w:rPr>
              <w:t>31.199,22</w:t>
            </w:r>
          </w:p>
        </w:tc>
        <w:tc>
          <w:tcPr>
            <w:tcW w:w="700" w:type="dxa"/>
            <w:tcMar>
              <w:top w:w="0" w:type="dxa"/>
              <w:bottom w:w="0" w:type="dxa"/>
            </w:tcMar>
            <w:vAlign w:val="center"/>
          </w:tcPr>
          <w:p w:rsidR="001E30E3" w:rsidRDefault="00944454">
            <w:pPr>
              <w:keepNext/>
              <w:keepLines/>
              <w:spacing w:after="0" w:line="240" w:lineRule="auto"/>
              <w:jc w:val="right"/>
            </w:pPr>
            <w:r>
              <w:rPr>
                <w:sz w:val="18"/>
              </w:rPr>
              <w:t>83,5</w:t>
            </w:r>
          </w:p>
        </w:tc>
      </w:tr>
    </w:tbl>
    <w:p w:rsidR="001E30E3" w:rsidRDefault="001E30E3">
      <w:pPr>
        <w:spacing w:after="0"/>
      </w:pPr>
    </w:p>
    <w:p w:rsidR="001E30E3" w:rsidRDefault="00944454">
      <w:pPr>
        <w:spacing w:line="240" w:lineRule="auto"/>
        <w:jc w:val="both"/>
      </w:pPr>
      <w:r>
        <w:t xml:space="preserve">Rashodi za materijal i sirovine ove godine manji su za 16,5%, ili 6.170,29 eura. Navedeni rashodi odnose se na nabavu namirnica za pripremu besplatnog toplog obroka u školskoj kuhinji i ručka u produženom boravku. Iznos utrošenih </w:t>
      </w:r>
      <w:r>
        <w:t>sredstava manji je iz razloga što se nabava namirnica planira za pripremu kvalitetnih obroka,  u skladu s preporučenim zdravstvenim normativima.</w:t>
      </w:r>
    </w:p>
    <w:p w:rsidR="001E30E3" w:rsidRDefault="001E30E3"/>
    <w:p w:rsidR="001E30E3" w:rsidRDefault="00944454">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w:t>
            </w:r>
            <w:r>
              <w:rPr>
                <w:b/>
                <w:sz w:val="18"/>
              </w:rPr>
              <w:t>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3223</w:t>
            </w:r>
          </w:p>
        </w:tc>
        <w:tc>
          <w:tcPr>
            <w:tcW w:w="3180" w:type="dxa"/>
            <w:tcMar>
              <w:top w:w="0" w:type="dxa"/>
              <w:bottom w:w="0" w:type="dxa"/>
            </w:tcMar>
            <w:vAlign w:val="center"/>
          </w:tcPr>
          <w:p w:rsidR="001E30E3" w:rsidRDefault="00944454">
            <w:pPr>
              <w:keepNext/>
              <w:keepLines/>
              <w:spacing w:after="0" w:line="240" w:lineRule="auto"/>
            </w:pPr>
            <w:r>
              <w:rPr>
                <w:sz w:val="18"/>
              </w:rPr>
              <w:t>Energija</w:t>
            </w:r>
          </w:p>
        </w:tc>
        <w:tc>
          <w:tcPr>
            <w:tcW w:w="700" w:type="dxa"/>
            <w:tcMar>
              <w:top w:w="0" w:type="dxa"/>
              <w:bottom w:w="0" w:type="dxa"/>
            </w:tcMar>
            <w:vAlign w:val="center"/>
          </w:tcPr>
          <w:p w:rsidR="001E30E3" w:rsidRDefault="00944454">
            <w:pPr>
              <w:keepNext/>
              <w:keepLines/>
              <w:spacing w:after="0" w:line="240" w:lineRule="auto"/>
            </w:pPr>
            <w:r>
              <w:rPr>
                <w:sz w:val="18"/>
              </w:rPr>
              <w:t>3223</w:t>
            </w:r>
          </w:p>
        </w:tc>
        <w:tc>
          <w:tcPr>
            <w:tcW w:w="1860" w:type="dxa"/>
            <w:tcMar>
              <w:top w:w="0" w:type="dxa"/>
              <w:bottom w:w="0" w:type="dxa"/>
            </w:tcMar>
            <w:vAlign w:val="center"/>
          </w:tcPr>
          <w:p w:rsidR="001E30E3" w:rsidRDefault="00944454">
            <w:pPr>
              <w:keepNext/>
              <w:keepLines/>
              <w:spacing w:after="0" w:line="240" w:lineRule="auto"/>
              <w:jc w:val="right"/>
            </w:pPr>
            <w:r>
              <w:rPr>
                <w:sz w:val="18"/>
              </w:rPr>
              <w:t>14.539,20</w:t>
            </w:r>
          </w:p>
        </w:tc>
        <w:tc>
          <w:tcPr>
            <w:tcW w:w="1860" w:type="dxa"/>
            <w:tcMar>
              <w:top w:w="0" w:type="dxa"/>
              <w:bottom w:w="0" w:type="dxa"/>
            </w:tcMar>
            <w:vAlign w:val="center"/>
          </w:tcPr>
          <w:p w:rsidR="001E30E3" w:rsidRDefault="00944454">
            <w:pPr>
              <w:keepNext/>
              <w:keepLines/>
              <w:spacing w:after="0" w:line="240" w:lineRule="auto"/>
              <w:jc w:val="right"/>
            </w:pPr>
            <w:r>
              <w:rPr>
                <w:sz w:val="18"/>
              </w:rPr>
              <w:t>11.285,52</w:t>
            </w:r>
          </w:p>
        </w:tc>
        <w:tc>
          <w:tcPr>
            <w:tcW w:w="700" w:type="dxa"/>
            <w:tcMar>
              <w:top w:w="0" w:type="dxa"/>
              <w:bottom w:w="0" w:type="dxa"/>
            </w:tcMar>
            <w:vAlign w:val="center"/>
          </w:tcPr>
          <w:p w:rsidR="001E30E3" w:rsidRDefault="00944454">
            <w:pPr>
              <w:keepNext/>
              <w:keepLines/>
              <w:spacing w:after="0" w:line="240" w:lineRule="auto"/>
              <w:jc w:val="right"/>
            </w:pPr>
            <w:r>
              <w:rPr>
                <w:sz w:val="18"/>
              </w:rPr>
              <w:t>77,6</w:t>
            </w:r>
          </w:p>
        </w:tc>
      </w:tr>
    </w:tbl>
    <w:p w:rsidR="001E30E3" w:rsidRDefault="001E30E3">
      <w:pPr>
        <w:spacing w:after="0"/>
      </w:pPr>
    </w:p>
    <w:p w:rsidR="001E30E3" w:rsidRDefault="00944454">
      <w:pPr>
        <w:spacing w:line="240" w:lineRule="auto"/>
        <w:jc w:val="both"/>
      </w:pPr>
      <w:r>
        <w:t xml:space="preserve">Rashodi za energente manji su za 22,40% ili 3.253,68 eura iz razloga što su ove godine bili manji iznosi računa za opskrbu zbog promjene opskrbljivača </w:t>
      </w:r>
      <w:r>
        <w:t>plinom, ali i nešto povoljnijih vremenskih uvjeta.</w:t>
      </w:r>
    </w:p>
    <w:p w:rsidR="001E30E3" w:rsidRDefault="001E30E3"/>
    <w:p w:rsidR="001E30E3" w:rsidRDefault="00944454">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3225</w:t>
            </w:r>
          </w:p>
        </w:tc>
        <w:tc>
          <w:tcPr>
            <w:tcW w:w="3180" w:type="dxa"/>
            <w:tcMar>
              <w:top w:w="0" w:type="dxa"/>
              <w:bottom w:w="0" w:type="dxa"/>
            </w:tcMar>
            <w:vAlign w:val="center"/>
          </w:tcPr>
          <w:p w:rsidR="001E30E3" w:rsidRDefault="00944454">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rsidR="001E30E3" w:rsidRDefault="00944454">
            <w:pPr>
              <w:keepNext/>
              <w:keepLines/>
              <w:spacing w:after="0" w:line="240" w:lineRule="auto"/>
            </w:pPr>
            <w:r>
              <w:rPr>
                <w:sz w:val="18"/>
              </w:rPr>
              <w:t>3225</w:t>
            </w:r>
          </w:p>
        </w:tc>
        <w:tc>
          <w:tcPr>
            <w:tcW w:w="1860" w:type="dxa"/>
            <w:tcMar>
              <w:top w:w="0" w:type="dxa"/>
              <w:bottom w:w="0" w:type="dxa"/>
            </w:tcMar>
            <w:vAlign w:val="center"/>
          </w:tcPr>
          <w:p w:rsidR="001E30E3" w:rsidRDefault="00944454">
            <w:pPr>
              <w:keepNext/>
              <w:keepLines/>
              <w:spacing w:after="0" w:line="240" w:lineRule="auto"/>
              <w:jc w:val="right"/>
            </w:pPr>
            <w:r>
              <w:rPr>
                <w:sz w:val="18"/>
              </w:rPr>
              <w:t>283,58</w:t>
            </w:r>
          </w:p>
        </w:tc>
        <w:tc>
          <w:tcPr>
            <w:tcW w:w="1860" w:type="dxa"/>
            <w:tcMar>
              <w:top w:w="0" w:type="dxa"/>
              <w:bottom w:w="0" w:type="dxa"/>
            </w:tcMar>
            <w:vAlign w:val="center"/>
          </w:tcPr>
          <w:p w:rsidR="001E30E3" w:rsidRDefault="00944454">
            <w:pPr>
              <w:keepNext/>
              <w:keepLines/>
              <w:spacing w:after="0" w:line="240" w:lineRule="auto"/>
              <w:jc w:val="right"/>
            </w:pPr>
            <w:r>
              <w:rPr>
                <w:sz w:val="18"/>
              </w:rPr>
              <w:t>1.121,37</w:t>
            </w:r>
          </w:p>
        </w:tc>
        <w:tc>
          <w:tcPr>
            <w:tcW w:w="700" w:type="dxa"/>
            <w:tcMar>
              <w:top w:w="0" w:type="dxa"/>
              <w:bottom w:w="0" w:type="dxa"/>
            </w:tcMar>
            <w:vAlign w:val="center"/>
          </w:tcPr>
          <w:p w:rsidR="001E30E3" w:rsidRDefault="00944454">
            <w:pPr>
              <w:keepNext/>
              <w:keepLines/>
              <w:spacing w:after="0" w:line="240" w:lineRule="auto"/>
              <w:jc w:val="right"/>
            </w:pPr>
            <w:r>
              <w:rPr>
                <w:sz w:val="18"/>
              </w:rPr>
              <w:t>395,4</w:t>
            </w:r>
          </w:p>
        </w:tc>
      </w:tr>
    </w:tbl>
    <w:p w:rsidR="001E30E3" w:rsidRDefault="001E30E3">
      <w:pPr>
        <w:spacing w:after="0"/>
      </w:pPr>
    </w:p>
    <w:p w:rsidR="001E30E3" w:rsidRDefault="00944454">
      <w:pPr>
        <w:spacing w:line="240" w:lineRule="auto"/>
        <w:jc w:val="both"/>
      </w:pPr>
      <w:r>
        <w:t>Rashodi za nabavu sitnog inventara veći su nego prošle godine za 837,79 eura. Ove godine evidentirane su donacije sitnog inventara (</w:t>
      </w:r>
      <w:proofErr w:type="spellStart"/>
      <w:r>
        <w:t>žardinjera</w:t>
      </w:r>
      <w:proofErr w:type="spellEnd"/>
      <w:r>
        <w:t xml:space="preserve"> i košarica za kruh), a nabavljeni su zidni satovi za učionice.</w:t>
      </w:r>
    </w:p>
    <w:p w:rsidR="001E30E3" w:rsidRDefault="001E30E3"/>
    <w:p w:rsidR="001E30E3" w:rsidRDefault="00944454">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3227</w:t>
            </w:r>
          </w:p>
        </w:tc>
        <w:tc>
          <w:tcPr>
            <w:tcW w:w="3180" w:type="dxa"/>
            <w:tcMar>
              <w:top w:w="0" w:type="dxa"/>
              <w:bottom w:w="0" w:type="dxa"/>
            </w:tcMar>
            <w:vAlign w:val="center"/>
          </w:tcPr>
          <w:p w:rsidR="001E30E3" w:rsidRDefault="00944454">
            <w:pPr>
              <w:keepNext/>
              <w:keepLines/>
              <w:spacing w:after="0" w:line="240" w:lineRule="auto"/>
            </w:pPr>
            <w:r>
              <w:rPr>
                <w:sz w:val="18"/>
              </w:rPr>
              <w:t>Službena, radna i zaštitna odjeća i obuća</w:t>
            </w:r>
          </w:p>
        </w:tc>
        <w:tc>
          <w:tcPr>
            <w:tcW w:w="700" w:type="dxa"/>
            <w:tcMar>
              <w:top w:w="0" w:type="dxa"/>
              <w:bottom w:w="0" w:type="dxa"/>
            </w:tcMar>
            <w:vAlign w:val="center"/>
          </w:tcPr>
          <w:p w:rsidR="001E30E3" w:rsidRDefault="00944454">
            <w:pPr>
              <w:keepNext/>
              <w:keepLines/>
              <w:spacing w:after="0" w:line="240" w:lineRule="auto"/>
            </w:pPr>
            <w:r>
              <w:rPr>
                <w:sz w:val="18"/>
              </w:rPr>
              <w:t>3227</w:t>
            </w:r>
          </w:p>
        </w:tc>
        <w:tc>
          <w:tcPr>
            <w:tcW w:w="1860" w:type="dxa"/>
            <w:tcMar>
              <w:top w:w="0" w:type="dxa"/>
              <w:bottom w:w="0" w:type="dxa"/>
            </w:tcMar>
            <w:vAlign w:val="center"/>
          </w:tcPr>
          <w:p w:rsidR="001E30E3" w:rsidRDefault="00944454">
            <w:pPr>
              <w:keepNext/>
              <w:keepLines/>
              <w:spacing w:after="0" w:line="240" w:lineRule="auto"/>
              <w:jc w:val="right"/>
            </w:pPr>
            <w:r>
              <w:rPr>
                <w:sz w:val="18"/>
              </w:rPr>
              <w:t>95,00</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0</w:t>
            </w:r>
          </w:p>
        </w:tc>
      </w:tr>
    </w:tbl>
    <w:p w:rsidR="001E30E3" w:rsidRDefault="001E30E3">
      <w:pPr>
        <w:spacing w:after="0"/>
      </w:pPr>
    </w:p>
    <w:p w:rsidR="001E30E3" w:rsidRDefault="00944454">
      <w:pPr>
        <w:spacing w:line="240" w:lineRule="auto"/>
        <w:jc w:val="both"/>
      </w:pPr>
      <w:r>
        <w:t xml:space="preserve">U prvoj polovice ove godine nisu evidentirani </w:t>
      </w:r>
      <w:r>
        <w:t>rashodi za nabavu službene odjeće i obuće.</w:t>
      </w:r>
    </w:p>
    <w:p w:rsidR="001E30E3" w:rsidRDefault="001E30E3"/>
    <w:p w:rsidR="001E30E3" w:rsidRDefault="00944454">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3232</w:t>
            </w:r>
          </w:p>
        </w:tc>
        <w:tc>
          <w:tcPr>
            <w:tcW w:w="3180" w:type="dxa"/>
            <w:tcMar>
              <w:top w:w="0" w:type="dxa"/>
              <w:bottom w:w="0" w:type="dxa"/>
            </w:tcMar>
            <w:vAlign w:val="center"/>
          </w:tcPr>
          <w:p w:rsidR="001E30E3" w:rsidRDefault="00944454">
            <w:pPr>
              <w:keepNext/>
              <w:keepLines/>
              <w:spacing w:after="0" w:line="240" w:lineRule="auto"/>
            </w:pPr>
            <w:r>
              <w:rPr>
                <w:sz w:val="18"/>
              </w:rPr>
              <w:t>Usluge tekućeg i investicijskog održavanja</w:t>
            </w:r>
          </w:p>
        </w:tc>
        <w:tc>
          <w:tcPr>
            <w:tcW w:w="700" w:type="dxa"/>
            <w:tcMar>
              <w:top w:w="0" w:type="dxa"/>
              <w:bottom w:w="0" w:type="dxa"/>
            </w:tcMar>
            <w:vAlign w:val="center"/>
          </w:tcPr>
          <w:p w:rsidR="001E30E3" w:rsidRDefault="00944454">
            <w:pPr>
              <w:keepNext/>
              <w:keepLines/>
              <w:spacing w:after="0" w:line="240" w:lineRule="auto"/>
            </w:pPr>
            <w:r>
              <w:rPr>
                <w:sz w:val="18"/>
              </w:rPr>
              <w:t>3232</w:t>
            </w:r>
          </w:p>
        </w:tc>
        <w:tc>
          <w:tcPr>
            <w:tcW w:w="1860" w:type="dxa"/>
            <w:tcMar>
              <w:top w:w="0" w:type="dxa"/>
              <w:bottom w:w="0" w:type="dxa"/>
            </w:tcMar>
            <w:vAlign w:val="center"/>
          </w:tcPr>
          <w:p w:rsidR="001E30E3" w:rsidRDefault="00944454">
            <w:pPr>
              <w:keepNext/>
              <w:keepLines/>
              <w:spacing w:after="0" w:line="240" w:lineRule="auto"/>
              <w:jc w:val="right"/>
            </w:pPr>
            <w:r>
              <w:rPr>
                <w:sz w:val="18"/>
              </w:rPr>
              <w:t>2.727,76</w:t>
            </w:r>
          </w:p>
        </w:tc>
        <w:tc>
          <w:tcPr>
            <w:tcW w:w="1860" w:type="dxa"/>
            <w:tcMar>
              <w:top w:w="0" w:type="dxa"/>
              <w:bottom w:w="0" w:type="dxa"/>
            </w:tcMar>
            <w:vAlign w:val="center"/>
          </w:tcPr>
          <w:p w:rsidR="001E30E3" w:rsidRDefault="00944454">
            <w:pPr>
              <w:keepNext/>
              <w:keepLines/>
              <w:spacing w:after="0" w:line="240" w:lineRule="auto"/>
              <w:jc w:val="right"/>
            </w:pPr>
            <w:r>
              <w:rPr>
                <w:sz w:val="18"/>
              </w:rPr>
              <w:t>11.609,11</w:t>
            </w:r>
          </w:p>
        </w:tc>
        <w:tc>
          <w:tcPr>
            <w:tcW w:w="700" w:type="dxa"/>
            <w:tcMar>
              <w:top w:w="0" w:type="dxa"/>
              <w:bottom w:w="0" w:type="dxa"/>
            </w:tcMar>
            <w:vAlign w:val="center"/>
          </w:tcPr>
          <w:p w:rsidR="001E30E3" w:rsidRDefault="00944454">
            <w:pPr>
              <w:keepNext/>
              <w:keepLines/>
              <w:spacing w:after="0" w:line="240" w:lineRule="auto"/>
              <w:jc w:val="right"/>
            </w:pPr>
            <w:r>
              <w:rPr>
                <w:sz w:val="18"/>
              </w:rPr>
              <w:t>425,6</w:t>
            </w:r>
          </w:p>
        </w:tc>
      </w:tr>
    </w:tbl>
    <w:p w:rsidR="001E30E3" w:rsidRDefault="001E30E3">
      <w:pPr>
        <w:spacing w:after="0"/>
      </w:pPr>
    </w:p>
    <w:p w:rsidR="001E30E3" w:rsidRDefault="00944454">
      <w:pPr>
        <w:spacing w:line="240" w:lineRule="auto"/>
        <w:jc w:val="both"/>
      </w:pPr>
      <w:r>
        <w:t xml:space="preserve">Rashodi za usluge tekućeg i investicijskog održavanja veći su za 8.881,35 eura nego u istom razdoblju prošle godine. Ove godine evidentirani su rashodi za postavljanje interaktivnih ploča, ispitivanja plinskih instalacija, </w:t>
      </w:r>
      <w:r>
        <w:t xml:space="preserve">zamjena i ugradnja kvaka, obrada </w:t>
      </w:r>
      <w:proofErr w:type="spellStart"/>
      <w:r>
        <w:t>špaleta</w:t>
      </w:r>
      <w:proofErr w:type="spellEnd"/>
      <w:r>
        <w:t xml:space="preserve">, montaža i programiranje sustava </w:t>
      </w:r>
      <w:proofErr w:type="spellStart"/>
      <w:r>
        <w:t>interfona</w:t>
      </w:r>
      <w:proofErr w:type="spellEnd"/>
      <w:r>
        <w:t xml:space="preserve"> i sustava kontrole pristupa, izrada plana sigurnosti škole, uklanjanje </w:t>
      </w:r>
      <w:proofErr w:type="spellStart"/>
      <w:r>
        <w:t>korjenja</w:t>
      </w:r>
      <w:proofErr w:type="spellEnd"/>
      <w:r>
        <w:t xml:space="preserve"> i čišćenje kamenjara, servis vatro i </w:t>
      </w:r>
      <w:proofErr w:type="spellStart"/>
      <w:r>
        <w:t>plinodojave</w:t>
      </w:r>
      <w:proofErr w:type="spellEnd"/>
      <w:r>
        <w:t>, te troškovi rekonstrukcije kanalizacije.</w:t>
      </w:r>
    </w:p>
    <w:p w:rsidR="001E30E3" w:rsidRDefault="001E30E3"/>
    <w:p w:rsidR="001E30E3" w:rsidRDefault="00944454">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3234</w:t>
            </w:r>
          </w:p>
        </w:tc>
        <w:tc>
          <w:tcPr>
            <w:tcW w:w="3180" w:type="dxa"/>
            <w:tcMar>
              <w:top w:w="0" w:type="dxa"/>
              <w:bottom w:w="0" w:type="dxa"/>
            </w:tcMar>
            <w:vAlign w:val="center"/>
          </w:tcPr>
          <w:p w:rsidR="001E30E3" w:rsidRDefault="00944454">
            <w:pPr>
              <w:keepNext/>
              <w:keepLines/>
              <w:spacing w:after="0" w:line="240" w:lineRule="auto"/>
            </w:pPr>
            <w:r>
              <w:rPr>
                <w:sz w:val="18"/>
              </w:rPr>
              <w:t>Komunalne usluge</w:t>
            </w:r>
          </w:p>
        </w:tc>
        <w:tc>
          <w:tcPr>
            <w:tcW w:w="700" w:type="dxa"/>
            <w:tcMar>
              <w:top w:w="0" w:type="dxa"/>
              <w:bottom w:w="0" w:type="dxa"/>
            </w:tcMar>
            <w:vAlign w:val="center"/>
          </w:tcPr>
          <w:p w:rsidR="001E30E3" w:rsidRDefault="00944454">
            <w:pPr>
              <w:keepNext/>
              <w:keepLines/>
              <w:spacing w:after="0" w:line="240" w:lineRule="auto"/>
            </w:pPr>
            <w:r>
              <w:rPr>
                <w:sz w:val="18"/>
              </w:rPr>
              <w:t>3234</w:t>
            </w:r>
          </w:p>
        </w:tc>
        <w:tc>
          <w:tcPr>
            <w:tcW w:w="1860" w:type="dxa"/>
            <w:tcMar>
              <w:top w:w="0" w:type="dxa"/>
              <w:bottom w:w="0" w:type="dxa"/>
            </w:tcMar>
            <w:vAlign w:val="center"/>
          </w:tcPr>
          <w:p w:rsidR="001E30E3" w:rsidRDefault="00944454">
            <w:pPr>
              <w:keepNext/>
              <w:keepLines/>
              <w:spacing w:after="0" w:line="240" w:lineRule="auto"/>
              <w:jc w:val="right"/>
            </w:pPr>
            <w:r>
              <w:rPr>
                <w:sz w:val="18"/>
              </w:rPr>
              <w:t>2.974,39</w:t>
            </w:r>
          </w:p>
        </w:tc>
        <w:tc>
          <w:tcPr>
            <w:tcW w:w="1860" w:type="dxa"/>
            <w:tcMar>
              <w:top w:w="0" w:type="dxa"/>
              <w:bottom w:w="0" w:type="dxa"/>
            </w:tcMar>
            <w:vAlign w:val="center"/>
          </w:tcPr>
          <w:p w:rsidR="001E30E3" w:rsidRDefault="00944454">
            <w:pPr>
              <w:keepNext/>
              <w:keepLines/>
              <w:spacing w:after="0" w:line="240" w:lineRule="auto"/>
              <w:jc w:val="right"/>
            </w:pPr>
            <w:r>
              <w:rPr>
                <w:sz w:val="18"/>
              </w:rPr>
              <w:t>3.462,25</w:t>
            </w:r>
          </w:p>
        </w:tc>
        <w:tc>
          <w:tcPr>
            <w:tcW w:w="700" w:type="dxa"/>
            <w:tcMar>
              <w:top w:w="0" w:type="dxa"/>
              <w:bottom w:w="0" w:type="dxa"/>
            </w:tcMar>
            <w:vAlign w:val="center"/>
          </w:tcPr>
          <w:p w:rsidR="001E30E3" w:rsidRDefault="00944454">
            <w:pPr>
              <w:keepNext/>
              <w:keepLines/>
              <w:spacing w:after="0" w:line="240" w:lineRule="auto"/>
              <w:jc w:val="right"/>
            </w:pPr>
            <w:r>
              <w:rPr>
                <w:sz w:val="18"/>
              </w:rPr>
              <w:t>116,4</w:t>
            </w:r>
          </w:p>
        </w:tc>
      </w:tr>
    </w:tbl>
    <w:p w:rsidR="001E30E3" w:rsidRDefault="001E30E3">
      <w:pPr>
        <w:spacing w:after="0"/>
      </w:pPr>
    </w:p>
    <w:p w:rsidR="001E30E3" w:rsidRDefault="00944454">
      <w:pPr>
        <w:spacing w:line="240" w:lineRule="auto"/>
        <w:jc w:val="both"/>
      </w:pPr>
      <w:r>
        <w:t xml:space="preserve">Rashodi za komunalne usluge u prvoj </w:t>
      </w:r>
      <w:r>
        <w:t>polovici ove godine veći su za 16,4% ili 487,86 eura. Razlog većih troškova su neplanirani troškovi odčepljivanja i ispiranje odvoda za kanalizaciju, te većeg računa za opskrbu vodom za svibanj i lipanj zbog puknuća vodovodne cijevi.</w:t>
      </w:r>
    </w:p>
    <w:p w:rsidR="001E30E3" w:rsidRDefault="001E30E3"/>
    <w:p w:rsidR="001E30E3" w:rsidRDefault="00944454">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Račun iz</w:t>
            </w:r>
            <w:r>
              <w:rPr>
                <w:b/>
                <w:sz w:val="18"/>
              </w:rPr>
              <w:t xml:space="preserve">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3236</w:t>
            </w:r>
          </w:p>
        </w:tc>
        <w:tc>
          <w:tcPr>
            <w:tcW w:w="3180" w:type="dxa"/>
            <w:tcMar>
              <w:top w:w="0" w:type="dxa"/>
              <w:bottom w:w="0" w:type="dxa"/>
            </w:tcMar>
            <w:vAlign w:val="center"/>
          </w:tcPr>
          <w:p w:rsidR="001E30E3" w:rsidRDefault="00944454">
            <w:pPr>
              <w:keepNext/>
              <w:keepLines/>
              <w:spacing w:after="0" w:line="240" w:lineRule="auto"/>
            </w:pPr>
            <w:r>
              <w:rPr>
                <w:sz w:val="18"/>
              </w:rPr>
              <w:t>Zdravstvene i veterinarske usluge</w:t>
            </w:r>
          </w:p>
        </w:tc>
        <w:tc>
          <w:tcPr>
            <w:tcW w:w="700" w:type="dxa"/>
            <w:tcMar>
              <w:top w:w="0" w:type="dxa"/>
              <w:bottom w:w="0" w:type="dxa"/>
            </w:tcMar>
            <w:vAlign w:val="center"/>
          </w:tcPr>
          <w:p w:rsidR="001E30E3" w:rsidRDefault="00944454">
            <w:pPr>
              <w:keepNext/>
              <w:keepLines/>
              <w:spacing w:after="0" w:line="240" w:lineRule="auto"/>
            </w:pPr>
            <w:r>
              <w:rPr>
                <w:sz w:val="18"/>
              </w:rPr>
              <w:t>3236</w:t>
            </w:r>
          </w:p>
        </w:tc>
        <w:tc>
          <w:tcPr>
            <w:tcW w:w="1860" w:type="dxa"/>
            <w:tcMar>
              <w:top w:w="0" w:type="dxa"/>
              <w:bottom w:w="0" w:type="dxa"/>
            </w:tcMar>
            <w:vAlign w:val="center"/>
          </w:tcPr>
          <w:p w:rsidR="001E30E3" w:rsidRDefault="00944454">
            <w:pPr>
              <w:keepNext/>
              <w:keepLines/>
              <w:spacing w:after="0" w:line="240" w:lineRule="auto"/>
              <w:jc w:val="right"/>
            </w:pPr>
            <w:r>
              <w:rPr>
                <w:sz w:val="18"/>
              </w:rPr>
              <w:t>740,18</w:t>
            </w:r>
          </w:p>
        </w:tc>
        <w:tc>
          <w:tcPr>
            <w:tcW w:w="1860" w:type="dxa"/>
            <w:tcMar>
              <w:top w:w="0" w:type="dxa"/>
              <w:bottom w:w="0" w:type="dxa"/>
            </w:tcMar>
            <w:vAlign w:val="center"/>
          </w:tcPr>
          <w:p w:rsidR="001E30E3" w:rsidRDefault="00944454">
            <w:pPr>
              <w:keepNext/>
              <w:keepLines/>
              <w:spacing w:after="0" w:line="240" w:lineRule="auto"/>
              <w:jc w:val="right"/>
            </w:pPr>
            <w:r>
              <w:rPr>
                <w:sz w:val="18"/>
              </w:rPr>
              <w:t>1.566,43</w:t>
            </w:r>
          </w:p>
        </w:tc>
        <w:tc>
          <w:tcPr>
            <w:tcW w:w="700" w:type="dxa"/>
            <w:tcMar>
              <w:top w:w="0" w:type="dxa"/>
              <w:bottom w:w="0" w:type="dxa"/>
            </w:tcMar>
            <w:vAlign w:val="center"/>
          </w:tcPr>
          <w:p w:rsidR="001E30E3" w:rsidRDefault="00944454">
            <w:pPr>
              <w:keepNext/>
              <w:keepLines/>
              <w:spacing w:after="0" w:line="240" w:lineRule="auto"/>
              <w:jc w:val="right"/>
            </w:pPr>
            <w:r>
              <w:rPr>
                <w:sz w:val="18"/>
              </w:rPr>
              <w:t>211,6</w:t>
            </w:r>
          </w:p>
        </w:tc>
      </w:tr>
    </w:tbl>
    <w:p w:rsidR="001E30E3" w:rsidRDefault="001E30E3">
      <w:pPr>
        <w:spacing w:after="0"/>
      </w:pPr>
    </w:p>
    <w:p w:rsidR="001E30E3" w:rsidRDefault="00944454">
      <w:pPr>
        <w:spacing w:line="240" w:lineRule="auto"/>
        <w:jc w:val="both"/>
      </w:pPr>
      <w:r>
        <w:lastRenderedPageBreak/>
        <w:t xml:space="preserve">Rashodi za zdravstvene usluge veći su za </w:t>
      </w:r>
      <w:r>
        <w:t>826,25 eura iz razloga što je ove godine u istom razdoblju više zaposlenika obavilo obavezne sistematske preglede.</w:t>
      </w:r>
    </w:p>
    <w:p w:rsidR="001E30E3" w:rsidRDefault="001E30E3"/>
    <w:p w:rsidR="001E30E3" w:rsidRDefault="00944454">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w:t>
            </w:r>
            <w:r>
              <w:rPr>
                <w:b/>
                <w:sz w:val="18"/>
              </w:rPr>
              <w:t>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3237</w:t>
            </w:r>
          </w:p>
        </w:tc>
        <w:tc>
          <w:tcPr>
            <w:tcW w:w="3180" w:type="dxa"/>
            <w:tcMar>
              <w:top w:w="0" w:type="dxa"/>
              <w:bottom w:w="0" w:type="dxa"/>
            </w:tcMar>
            <w:vAlign w:val="center"/>
          </w:tcPr>
          <w:p w:rsidR="001E30E3" w:rsidRDefault="00944454">
            <w:pPr>
              <w:keepNext/>
              <w:keepLines/>
              <w:spacing w:after="0" w:line="240" w:lineRule="auto"/>
            </w:pPr>
            <w:r>
              <w:rPr>
                <w:sz w:val="18"/>
              </w:rPr>
              <w:t>Intelektualne i osobne usluge</w:t>
            </w:r>
          </w:p>
        </w:tc>
        <w:tc>
          <w:tcPr>
            <w:tcW w:w="700" w:type="dxa"/>
            <w:tcMar>
              <w:top w:w="0" w:type="dxa"/>
              <w:bottom w:w="0" w:type="dxa"/>
            </w:tcMar>
            <w:vAlign w:val="center"/>
          </w:tcPr>
          <w:p w:rsidR="001E30E3" w:rsidRDefault="00944454">
            <w:pPr>
              <w:keepNext/>
              <w:keepLines/>
              <w:spacing w:after="0" w:line="240" w:lineRule="auto"/>
            </w:pPr>
            <w:r>
              <w:rPr>
                <w:sz w:val="18"/>
              </w:rPr>
              <w:t>3237</w:t>
            </w:r>
          </w:p>
        </w:tc>
        <w:tc>
          <w:tcPr>
            <w:tcW w:w="1860" w:type="dxa"/>
            <w:tcMar>
              <w:top w:w="0" w:type="dxa"/>
              <w:bottom w:w="0" w:type="dxa"/>
            </w:tcMar>
            <w:vAlign w:val="center"/>
          </w:tcPr>
          <w:p w:rsidR="001E30E3" w:rsidRDefault="00944454">
            <w:pPr>
              <w:keepNext/>
              <w:keepLines/>
              <w:spacing w:after="0" w:line="240" w:lineRule="auto"/>
              <w:jc w:val="right"/>
            </w:pPr>
            <w:r>
              <w:rPr>
                <w:sz w:val="18"/>
              </w:rPr>
              <w:t>683,32</w:t>
            </w:r>
          </w:p>
        </w:tc>
        <w:tc>
          <w:tcPr>
            <w:tcW w:w="1860" w:type="dxa"/>
            <w:tcMar>
              <w:top w:w="0" w:type="dxa"/>
              <w:bottom w:w="0" w:type="dxa"/>
            </w:tcMar>
            <w:vAlign w:val="center"/>
          </w:tcPr>
          <w:p w:rsidR="001E30E3" w:rsidRDefault="00944454">
            <w:pPr>
              <w:keepNext/>
              <w:keepLines/>
              <w:spacing w:after="0" w:line="240" w:lineRule="auto"/>
              <w:jc w:val="right"/>
            </w:pPr>
            <w:r>
              <w:rPr>
                <w:sz w:val="18"/>
              </w:rPr>
              <w:t>397,59</w:t>
            </w:r>
          </w:p>
        </w:tc>
        <w:tc>
          <w:tcPr>
            <w:tcW w:w="700" w:type="dxa"/>
            <w:tcMar>
              <w:top w:w="0" w:type="dxa"/>
              <w:bottom w:w="0" w:type="dxa"/>
            </w:tcMar>
            <w:vAlign w:val="center"/>
          </w:tcPr>
          <w:p w:rsidR="001E30E3" w:rsidRDefault="00944454">
            <w:pPr>
              <w:keepNext/>
              <w:keepLines/>
              <w:spacing w:after="0" w:line="240" w:lineRule="auto"/>
              <w:jc w:val="right"/>
            </w:pPr>
            <w:r>
              <w:rPr>
                <w:sz w:val="18"/>
              </w:rPr>
              <w:t>58,2</w:t>
            </w:r>
          </w:p>
        </w:tc>
      </w:tr>
    </w:tbl>
    <w:p w:rsidR="001E30E3" w:rsidRDefault="001E30E3">
      <w:pPr>
        <w:spacing w:after="0"/>
      </w:pPr>
    </w:p>
    <w:p w:rsidR="001E30E3" w:rsidRDefault="00944454">
      <w:pPr>
        <w:spacing w:line="240" w:lineRule="auto"/>
        <w:jc w:val="both"/>
      </w:pPr>
      <w:r>
        <w:t xml:space="preserve">Rashodi za intelektualne usluge ove godine su manji za 41,80%, evidentirani su rashodi samo za naknade povjerenstvu za provođenje županijskog natjecanja iz geografije te </w:t>
      </w:r>
      <w:r>
        <w:t>odvjetničke usluge.</w:t>
      </w:r>
    </w:p>
    <w:p w:rsidR="001E30E3" w:rsidRDefault="001E30E3"/>
    <w:p w:rsidR="001E30E3" w:rsidRDefault="00944454">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3295</w:t>
            </w:r>
          </w:p>
        </w:tc>
        <w:tc>
          <w:tcPr>
            <w:tcW w:w="3180" w:type="dxa"/>
            <w:tcMar>
              <w:top w:w="0" w:type="dxa"/>
              <w:bottom w:w="0" w:type="dxa"/>
            </w:tcMar>
            <w:vAlign w:val="center"/>
          </w:tcPr>
          <w:p w:rsidR="001E30E3" w:rsidRDefault="00944454">
            <w:pPr>
              <w:keepNext/>
              <w:keepLines/>
              <w:spacing w:after="0" w:line="240" w:lineRule="auto"/>
            </w:pPr>
            <w:r>
              <w:rPr>
                <w:sz w:val="18"/>
              </w:rPr>
              <w:t>Pristojbe i naknade</w:t>
            </w:r>
          </w:p>
        </w:tc>
        <w:tc>
          <w:tcPr>
            <w:tcW w:w="700" w:type="dxa"/>
            <w:tcMar>
              <w:top w:w="0" w:type="dxa"/>
              <w:bottom w:w="0" w:type="dxa"/>
            </w:tcMar>
            <w:vAlign w:val="center"/>
          </w:tcPr>
          <w:p w:rsidR="001E30E3" w:rsidRDefault="00944454">
            <w:pPr>
              <w:keepNext/>
              <w:keepLines/>
              <w:spacing w:after="0" w:line="240" w:lineRule="auto"/>
            </w:pPr>
            <w:r>
              <w:rPr>
                <w:sz w:val="18"/>
              </w:rPr>
              <w:t>3295</w:t>
            </w:r>
          </w:p>
        </w:tc>
        <w:tc>
          <w:tcPr>
            <w:tcW w:w="1860" w:type="dxa"/>
            <w:tcMar>
              <w:top w:w="0" w:type="dxa"/>
              <w:bottom w:w="0" w:type="dxa"/>
            </w:tcMar>
            <w:vAlign w:val="center"/>
          </w:tcPr>
          <w:p w:rsidR="001E30E3" w:rsidRDefault="00944454">
            <w:pPr>
              <w:keepNext/>
              <w:keepLines/>
              <w:spacing w:after="0" w:line="240" w:lineRule="auto"/>
              <w:jc w:val="right"/>
            </w:pPr>
            <w:r>
              <w:rPr>
                <w:sz w:val="18"/>
              </w:rPr>
              <w:t>1.764,89</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0</w:t>
            </w:r>
          </w:p>
        </w:tc>
      </w:tr>
    </w:tbl>
    <w:p w:rsidR="001E30E3" w:rsidRDefault="001E30E3">
      <w:pPr>
        <w:spacing w:after="0"/>
      </w:pPr>
    </w:p>
    <w:p w:rsidR="001E30E3" w:rsidRDefault="00944454">
      <w:pPr>
        <w:spacing w:line="240" w:lineRule="auto"/>
        <w:jc w:val="both"/>
      </w:pPr>
      <w:r>
        <w:t xml:space="preserve">Rashodi za pristojbe i </w:t>
      </w:r>
      <w:r>
        <w:t>naknade u prvoj polovici ove godine nisu evidentirani.</w:t>
      </w:r>
    </w:p>
    <w:p w:rsidR="001E30E3" w:rsidRDefault="001E30E3"/>
    <w:p w:rsidR="001E30E3" w:rsidRDefault="00944454">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3431</w:t>
            </w:r>
          </w:p>
        </w:tc>
        <w:tc>
          <w:tcPr>
            <w:tcW w:w="3180" w:type="dxa"/>
            <w:tcMar>
              <w:top w:w="0" w:type="dxa"/>
              <w:bottom w:w="0" w:type="dxa"/>
            </w:tcMar>
            <w:vAlign w:val="center"/>
          </w:tcPr>
          <w:p w:rsidR="001E30E3" w:rsidRDefault="00944454">
            <w:pPr>
              <w:keepNext/>
              <w:keepLines/>
              <w:spacing w:after="0" w:line="240" w:lineRule="auto"/>
            </w:pPr>
            <w:r>
              <w:rPr>
                <w:sz w:val="18"/>
              </w:rPr>
              <w:t xml:space="preserve">Bankarske usluge i usluge </w:t>
            </w:r>
            <w:r>
              <w:rPr>
                <w:sz w:val="18"/>
              </w:rPr>
              <w:t>platnog prometa</w:t>
            </w:r>
          </w:p>
        </w:tc>
        <w:tc>
          <w:tcPr>
            <w:tcW w:w="700" w:type="dxa"/>
            <w:tcMar>
              <w:top w:w="0" w:type="dxa"/>
              <w:bottom w:w="0" w:type="dxa"/>
            </w:tcMar>
            <w:vAlign w:val="center"/>
          </w:tcPr>
          <w:p w:rsidR="001E30E3" w:rsidRDefault="00944454">
            <w:pPr>
              <w:keepNext/>
              <w:keepLines/>
              <w:spacing w:after="0" w:line="240" w:lineRule="auto"/>
            </w:pPr>
            <w:r>
              <w:rPr>
                <w:sz w:val="18"/>
              </w:rPr>
              <w:t>3431</w:t>
            </w:r>
          </w:p>
        </w:tc>
        <w:tc>
          <w:tcPr>
            <w:tcW w:w="1860" w:type="dxa"/>
            <w:tcMar>
              <w:top w:w="0" w:type="dxa"/>
              <w:bottom w:w="0" w:type="dxa"/>
            </w:tcMar>
            <w:vAlign w:val="center"/>
          </w:tcPr>
          <w:p w:rsidR="001E30E3" w:rsidRDefault="00944454">
            <w:pPr>
              <w:keepNext/>
              <w:keepLines/>
              <w:spacing w:after="0" w:line="240" w:lineRule="auto"/>
              <w:jc w:val="right"/>
            </w:pPr>
            <w:r>
              <w:rPr>
                <w:sz w:val="18"/>
              </w:rPr>
              <w:t>163,16</w:t>
            </w:r>
          </w:p>
        </w:tc>
        <w:tc>
          <w:tcPr>
            <w:tcW w:w="1860" w:type="dxa"/>
            <w:tcMar>
              <w:top w:w="0" w:type="dxa"/>
              <w:bottom w:w="0" w:type="dxa"/>
            </w:tcMar>
            <w:vAlign w:val="center"/>
          </w:tcPr>
          <w:p w:rsidR="001E30E3" w:rsidRDefault="00944454">
            <w:pPr>
              <w:keepNext/>
              <w:keepLines/>
              <w:spacing w:after="0" w:line="240" w:lineRule="auto"/>
              <w:jc w:val="right"/>
            </w:pPr>
            <w:r>
              <w:rPr>
                <w:sz w:val="18"/>
              </w:rPr>
              <w:t>249,30</w:t>
            </w:r>
          </w:p>
        </w:tc>
        <w:tc>
          <w:tcPr>
            <w:tcW w:w="700" w:type="dxa"/>
            <w:tcMar>
              <w:top w:w="0" w:type="dxa"/>
              <w:bottom w:w="0" w:type="dxa"/>
            </w:tcMar>
            <w:vAlign w:val="center"/>
          </w:tcPr>
          <w:p w:rsidR="001E30E3" w:rsidRDefault="00944454">
            <w:pPr>
              <w:keepNext/>
              <w:keepLines/>
              <w:spacing w:after="0" w:line="240" w:lineRule="auto"/>
              <w:jc w:val="right"/>
            </w:pPr>
            <w:r>
              <w:rPr>
                <w:sz w:val="18"/>
              </w:rPr>
              <w:t>152,8</w:t>
            </w:r>
          </w:p>
        </w:tc>
      </w:tr>
    </w:tbl>
    <w:p w:rsidR="001E30E3" w:rsidRDefault="001E30E3">
      <w:pPr>
        <w:spacing w:after="0"/>
      </w:pPr>
    </w:p>
    <w:p w:rsidR="001E30E3" w:rsidRDefault="00944454">
      <w:pPr>
        <w:spacing w:line="240" w:lineRule="auto"/>
        <w:jc w:val="both"/>
      </w:pPr>
      <w:r>
        <w:t xml:space="preserve">Troškovi bankarskih usluga veći su za 52,8% ili 86,14 eura u odnosu na prošlu godinu. Razlog povećanja su veći troškovi bankovnih naknada za vođenje računa, te evidentiran trošak obnove certifikata Financijske </w:t>
      </w:r>
      <w:r>
        <w:t>agencije nužnih za rad školske uprave.</w:t>
      </w:r>
    </w:p>
    <w:p w:rsidR="001E30E3" w:rsidRDefault="001E30E3"/>
    <w:p w:rsidR="001E30E3" w:rsidRDefault="00944454">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96</w:t>
            </w:r>
          </w:p>
        </w:tc>
        <w:tc>
          <w:tcPr>
            <w:tcW w:w="3180" w:type="dxa"/>
            <w:tcMar>
              <w:top w:w="0" w:type="dxa"/>
              <w:bottom w:w="0" w:type="dxa"/>
            </w:tcMar>
            <w:vAlign w:val="center"/>
          </w:tcPr>
          <w:p w:rsidR="001E30E3" w:rsidRDefault="00944454">
            <w:pPr>
              <w:keepNext/>
              <w:keepLines/>
              <w:spacing w:after="0" w:line="240" w:lineRule="auto"/>
            </w:pPr>
            <w:r>
              <w:rPr>
                <w:sz w:val="18"/>
              </w:rPr>
              <w:t>Obračunati prihodi poslovanja - nenaplaćeni</w:t>
            </w:r>
          </w:p>
        </w:tc>
        <w:tc>
          <w:tcPr>
            <w:tcW w:w="700" w:type="dxa"/>
            <w:tcMar>
              <w:top w:w="0" w:type="dxa"/>
              <w:bottom w:w="0" w:type="dxa"/>
            </w:tcMar>
            <w:vAlign w:val="center"/>
          </w:tcPr>
          <w:p w:rsidR="001E30E3" w:rsidRDefault="00944454">
            <w:pPr>
              <w:keepNext/>
              <w:keepLines/>
              <w:spacing w:after="0" w:line="240" w:lineRule="auto"/>
            </w:pPr>
            <w:r>
              <w:rPr>
                <w:sz w:val="18"/>
              </w:rPr>
              <w:t>96</w:t>
            </w:r>
          </w:p>
        </w:tc>
        <w:tc>
          <w:tcPr>
            <w:tcW w:w="1860" w:type="dxa"/>
            <w:tcMar>
              <w:top w:w="0" w:type="dxa"/>
              <w:bottom w:w="0" w:type="dxa"/>
            </w:tcMar>
            <w:vAlign w:val="center"/>
          </w:tcPr>
          <w:p w:rsidR="001E30E3" w:rsidRDefault="00944454">
            <w:pPr>
              <w:keepNext/>
              <w:keepLines/>
              <w:spacing w:after="0" w:line="240" w:lineRule="auto"/>
              <w:jc w:val="right"/>
            </w:pPr>
            <w:r>
              <w:rPr>
                <w:sz w:val="18"/>
              </w:rPr>
              <w:t>2.272,92</w:t>
            </w:r>
          </w:p>
        </w:tc>
        <w:tc>
          <w:tcPr>
            <w:tcW w:w="1860" w:type="dxa"/>
            <w:tcMar>
              <w:top w:w="0" w:type="dxa"/>
              <w:bottom w:w="0" w:type="dxa"/>
            </w:tcMar>
            <w:vAlign w:val="center"/>
          </w:tcPr>
          <w:p w:rsidR="001E30E3" w:rsidRDefault="00944454">
            <w:pPr>
              <w:keepNext/>
              <w:keepLines/>
              <w:spacing w:after="0" w:line="240" w:lineRule="auto"/>
              <w:jc w:val="right"/>
            </w:pPr>
            <w:r>
              <w:rPr>
                <w:sz w:val="18"/>
              </w:rPr>
              <w:t>92.878,97</w:t>
            </w:r>
          </w:p>
        </w:tc>
        <w:tc>
          <w:tcPr>
            <w:tcW w:w="700" w:type="dxa"/>
            <w:tcMar>
              <w:top w:w="0" w:type="dxa"/>
              <w:bottom w:w="0" w:type="dxa"/>
            </w:tcMar>
            <w:vAlign w:val="center"/>
          </w:tcPr>
          <w:p w:rsidR="001E30E3" w:rsidRDefault="00944454">
            <w:pPr>
              <w:keepNext/>
              <w:keepLines/>
              <w:spacing w:after="0" w:line="240" w:lineRule="auto"/>
              <w:jc w:val="right"/>
            </w:pPr>
            <w:r>
              <w:rPr>
                <w:sz w:val="18"/>
              </w:rPr>
              <w:t>4086,3</w:t>
            </w:r>
          </w:p>
        </w:tc>
      </w:tr>
    </w:tbl>
    <w:p w:rsidR="001E30E3" w:rsidRDefault="001E30E3">
      <w:pPr>
        <w:spacing w:after="0"/>
      </w:pPr>
    </w:p>
    <w:p w:rsidR="001E30E3" w:rsidRDefault="00944454">
      <w:pPr>
        <w:spacing w:line="240" w:lineRule="auto"/>
        <w:jc w:val="both"/>
      </w:pPr>
      <w:r>
        <w:t xml:space="preserve">Obračunati prihodi poslovanja ove godine su evidentirani u vrlo velikom iznosu u odnosu na prošlu godinu, s povećanjem od 90.606,05 eura. Objašnjenje tog ogromnog povećanja je to što je od ove godine način knjiženja obračuna za </w:t>
      </w:r>
      <w:r>
        <w:t xml:space="preserve">plaću drukčiji nego prošle godine. Naime, </w:t>
      </w:r>
      <w:r>
        <w:lastRenderedPageBreak/>
        <w:t xml:space="preserve">prilikom evidentiranja rashoda za plaću potrebno je evidentirati  i obračunate prihode prema Ministarstvu, koji se zatvaraju prilikom isplate. Navedeni iznos odnosi se na evidenciju obračunatih prihoda za plaću za </w:t>
      </w:r>
      <w:r>
        <w:t>lipanj, te dijelom za obračunate prihode za produženi boravak.</w:t>
      </w:r>
    </w:p>
    <w:p w:rsidR="001E30E3" w:rsidRDefault="001E30E3"/>
    <w:p w:rsidR="001E30E3" w:rsidRDefault="00944454">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42</w:t>
            </w:r>
          </w:p>
        </w:tc>
        <w:tc>
          <w:tcPr>
            <w:tcW w:w="3180" w:type="dxa"/>
            <w:tcMar>
              <w:top w:w="0" w:type="dxa"/>
              <w:bottom w:w="0" w:type="dxa"/>
            </w:tcMar>
            <w:vAlign w:val="center"/>
          </w:tcPr>
          <w:p w:rsidR="001E30E3" w:rsidRDefault="00944454">
            <w:pPr>
              <w:keepNext/>
              <w:keepLines/>
              <w:spacing w:after="0" w:line="240" w:lineRule="auto"/>
            </w:pPr>
            <w:r>
              <w:rPr>
                <w:sz w:val="18"/>
              </w:rPr>
              <w:t xml:space="preserve">Rashodi za nabavu </w:t>
            </w:r>
            <w:r>
              <w:rPr>
                <w:sz w:val="18"/>
              </w:rPr>
              <w:t>proizvedene dugotrajne imovine (šifre 421+422+423+424+425+426)</w:t>
            </w:r>
          </w:p>
        </w:tc>
        <w:tc>
          <w:tcPr>
            <w:tcW w:w="700" w:type="dxa"/>
            <w:tcMar>
              <w:top w:w="0" w:type="dxa"/>
              <w:bottom w:w="0" w:type="dxa"/>
            </w:tcMar>
            <w:vAlign w:val="center"/>
          </w:tcPr>
          <w:p w:rsidR="001E30E3" w:rsidRDefault="00944454">
            <w:pPr>
              <w:keepNext/>
              <w:keepLines/>
              <w:spacing w:after="0" w:line="240" w:lineRule="auto"/>
            </w:pPr>
            <w:r>
              <w:rPr>
                <w:sz w:val="18"/>
              </w:rPr>
              <w:t>42</w:t>
            </w:r>
          </w:p>
        </w:tc>
        <w:tc>
          <w:tcPr>
            <w:tcW w:w="1860" w:type="dxa"/>
            <w:tcMar>
              <w:top w:w="0" w:type="dxa"/>
              <w:bottom w:w="0" w:type="dxa"/>
            </w:tcMar>
            <w:vAlign w:val="center"/>
          </w:tcPr>
          <w:p w:rsidR="001E30E3" w:rsidRDefault="00944454">
            <w:pPr>
              <w:keepNext/>
              <w:keepLines/>
              <w:spacing w:after="0" w:line="240" w:lineRule="auto"/>
              <w:jc w:val="right"/>
            </w:pPr>
            <w:r>
              <w:rPr>
                <w:sz w:val="18"/>
              </w:rPr>
              <w:t>3.542,75</w:t>
            </w:r>
          </w:p>
        </w:tc>
        <w:tc>
          <w:tcPr>
            <w:tcW w:w="1860" w:type="dxa"/>
            <w:tcMar>
              <w:top w:w="0" w:type="dxa"/>
              <w:bottom w:w="0" w:type="dxa"/>
            </w:tcMar>
            <w:vAlign w:val="center"/>
          </w:tcPr>
          <w:p w:rsidR="001E30E3" w:rsidRDefault="00944454">
            <w:pPr>
              <w:keepNext/>
              <w:keepLines/>
              <w:spacing w:after="0" w:line="240" w:lineRule="auto"/>
              <w:jc w:val="right"/>
            </w:pPr>
            <w:r>
              <w:rPr>
                <w:sz w:val="18"/>
              </w:rPr>
              <w:t>5.064,94</w:t>
            </w:r>
          </w:p>
        </w:tc>
        <w:tc>
          <w:tcPr>
            <w:tcW w:w="700" w:type="dxa"/>
            <w:tcMar>
              <w:top w:w="0" w:type="dxa"/>
              <w:bottom w:w="0" w:type="dxa"/>
            </w:tcMar>
            <w:vAlign w:val="center"/>
          </w:tcPr>
          <w:p w:rsidR="001E30E3" w:rsidRDefault="00944454">
            <w:pPr>
              <w:keepNext/>
              <w:keepLines/>
              <w:spacing w:after="0" w:line="240" w:lineRule="auto"/>
              <w:jc w:val="right"/>
            </w:pPr>
            <w:r>
              <w:rPr>
                <w:sz w:val="18"/>
              </w:rPr>
              <w:t>143,0</w:t>
            </w:r>
          </w:p>
        </w:tc>
      </w:tr>
    </w:tbl>
    <w:p w:rsidR="001E30E3" w:rsidRDefault="001E30E3">
      <w:pPr>
        <w:spacing w:after="0"/>
      </w:pPr>
    </w:p>
    <w:p w:rsidR="001E30E3" w:rsidRDefault="00944454">
      <w:pPr>
        <w:spacing w:line="240" w:lineRule="auto"/>
        <w:jc w:val="both"/>
      </w:pPr>
      <w:r>
        <w:t xml:space="preserve">Rashodi za nabavu nefinancijske imovine u ovoj godini veći su za 43% ili 1.522,19 eura. Evidentirani su rashodi za nabavu bijele školske ploče, te za vanjske </w:t>
      </w:r>
      <w:r>
        <w:t>kompleta za igru "Čovječe ne ljuti se" i "Šah".</w:t>
      </w:r>
    </w:p>
    <w:p w:rsidR="001E30E3" w:rsidRDefault="001E30E3"/>
    <w:p w:rsidR="001E30E3" w:rsidRDefault="00944454">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45</w:t>
            </w:r>
          </w:p>
        </w:tc>
        <w:tc>
          <w:tcPr>
            <w:tcW w:w="3180" w:type="dxa"/>
            <w:tcMar>
              <w:top w:w="0" w:type="dxa"/>
              <w:bottom w:w="0" w:type="dxa"/>
            </w:tcMar>
            <w:vAlign w:val="center"/>
          </w:tcPr>
          <w:p w:rsidR="001E30E3" w:rsidRDefault="00944454">
            <w:pPr>
              <w:keepNext/>
              <w:keepLines/>
              <w:spacing w:after="0" w:line="240" w:lineRule="auto"/>
            </w:pPr>
            <w:r>
              <w:rPr>
                <w:sz w:val="18"/>
              </w:rPr>
              <w:t xml:space="preserve">Rashodi za dodatna ulaganja na </w:t>
            </w:r>
            <w:r>
              <w:rPr>
                <w:sz w:val="18"/>
              </w:rPr>
              <w:t>nefinancijskoj imovini (šifre 451 do 454)</w:t>
            </w:r>
          </w:p>
        </w:tc>
        <w:tc>
          <w:tcPr>
            <w:tcW w:w="700" w:type="dxa"/>
            <w:tcMar>
              <w:top w:w="0" w:type="dxa"/>
              <w:bottom w:w="0" w:type="dxa"/>
            </w:tcMar>
            <w:vAlign w:val="center"/>
          </w:tcPr>
          <w:p w:rsidR="001E30E3" w:rsidRDefault="00944454">
            <w:pPr>
              <w:keepNext/>
              <w:keepLines/>
              <w:spacing w:after="0" w:line="240" w:lineRule="auto"/>
            </w:pPr>
            <w:r>
              <w:rPr>
                <w:sz w:val="18"/>
              </w:rPr>
              <w:t>45</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2.475,00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Ove godine evidentirani su rashodi za dodatna ulaganja, za uslugu vađenja panjeva, pripreme terena i podloge za vanjske igre.</w:t>
      </w:r>
    </w:p>
    <w:p w:rsidR="001E30E3" w:rsidRDefault="001E30E3"/>
    <w:p w:rsidR="001E30E3" w:rsidRDefault="00944454">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sz w:val="18"/>
              </w:rPr>
              <w:t>Manjak prihoda i primitaka za pokriće u sljedećem razdoblju (šifre Y005 + '9222-9221' - X005 - '9221-9222' )</w:t>
            </w:r>
          </w:p>
        </w:tc>
        <w:tc>
          <w:tcPr>
            <w:tcW w:w="700" w:type="dxa"/>
            <w:tcMar>
              <w:top w:w="0" w:type="dxa"/>
              <w:bottom w:w="0" w:type="dxa"/>
            </w:tcMar>
            <w:vAlign w:val="center"/>
          </w:tcPr>
          <w:p w:rsidR="001E30E3" w:rsidRDefault="00944454">
            <w:pPr>
              <w:keepNext/>
              <w:keepLines/>
              <w:spacing w:after="0" w:line="240" w:lineRule="auto"/>
            </w:pPr>
            <w:r>
              <w:rPr>
                <w:sz w:val="18"/>
              </w:rPr>
              <w:t>Y006</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1860" w:type="dxa"/>
            <w:tcMar>
              <w:top w:w="0" w:type="dxa"/>
              <w:bottom w:w="0" w:type="dxa"/>
            </w:tcMar>
            <w:vAlign w:val="center"/>
          </w:tcPr>
          <w:p w:rsidR="001E30E3" w:rsidRDefault="00944454">
            <w:pPr>
              <w:keepNext/>
              <w:keepLines/>
              <w:spacing w:after="0" w:line="240" w:lineRule="auto"/>
              <w:jc w:val="right"/>
            </w:pPr>
            <w:r>
              <w:rPr>
                <w:sz w:val="18"/>
              </w:rPr>
              <w:t>20.800,11</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Manjak prihoda i </w:t>
      </w:r>
      <w:r>
        <w:t>primitaka za pokriće u slijedećem razdoblju iznosi 20.800,11 eura, a odnosi se na razliku manjka prihoda i primitaka u iznosu 26.326,66 eura i viška prenesenih prihoda i primitaka  u iznosu 5.526,55 eura.</w:t>
      </w:r>
    </w:p>
    <w:p w:rsidR="001E30E3" w:rsidRDefault="001E30E3"/>
    <w:p w:rsidR="001E30E3" w:rsidRDefault="00944454">
      <w:pPr>
        <w:keepNext/>
        <w:spacing w:line="240" w:lineRule="auto"/>
        <w:jc w:val="center"/>
      </w:pPr>
      <w:r>
        <w:rPr>
          <w:sz w:val="28"/>
        </w:rPr>
        <w:lastRenderedPageBreak/>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944454">
            <w:pPr>
              <w:keepNext/>
              <w:keepLines/>
              <w:spacing w:after="0" w:line="240" w:lineRule="auto"/>
            </w:pPr>
            <w:r>
              <w:rPr>
                <w:sz w:val="18"/>
              </w:rPr>
              <w:t>19</w:t>
            </w:r>
          </w:p>
        </w:tc>
        <w:tc>
          <w:tcPr>
            <w:tcW w:w="3180" w:type="dxa"/>
            <w:tcMar>
              <w:top w:w="0" w:type="dxa"/>
              <w:bottom w:w="0" w:type="dxa"/>
            </w:tcMar>
            <w:vAlign w:val="center"/>
          </w:tcPr>
          <w:p w:rsidR="001E30E3" w:rsidRDefault="00944454">
            <w:pPr>
              <w:keepNext/>
              <w:keepLines/>
              <w:spacing w:after="0" w:line="240" w:lineRule="auto"/>
            </w:pPr>
            <w:r>
              <w:rPr>
                <w:sz w:val="18"/>
              </w:rPr>
              <w:t>Rashodi budućih razdoblja i nedospjela naplata prihoda (aktivna vremenska razgraničenja)</w:t>
            </w:r>
          </w:p>
        </w:tc>
        <w:tc>
          <w:tcPr>
            <w:tcW w:w="700" w:type="dxa"/>
            <w:tcMar>
              <w:top w:w="0" w:type="dxa"/>
              <w:bottom w:w="0" w:type="dxa"/>
            </w:tcMar>
            <w:vAlign w:val="center"/>
          </w:tcPr>
          <w:p w:rsidR="001E30E3" w:rsidRDefault="00944454">
            <w:pPr>
              <w:keepNext/>
              <w:keepLines/>
              <w:spacing w:after="0" w:line="240" w:lineRule="auto"/>
            </w:pPr>
            <w:r>
              <w:rPr>
                <w:sz w:val="18"/>
              </w:rPr>
              <w:t>19</w:t>
            </w:r>
          </w:p>
        </w:tc>
        <w:tc>
          <w:tcPr>
            <w:tcW w:w="1860" w:type="dxa"/>
            <w:tcMar>
              <w:top w:w="0" w:type="dxa"/>
              <w:bottom w:w="0" w:type="dxa"/>
            </w:tcMar>
            <w:vAlign w:val="center"/>
          </w:tcPr>
          <w:p w:rsidR="001E30E3" w:rsidRDefault="00944454">
            <w:pPr>
              <w:keepNext/>
              <w:keepLines/>
              <w:spacing w:after="0" w:line="240" w:lineRule="auto"/>
              <w:jc w:val="right"/>
            </w:pPr>
            <w:r>
              <w:rPr>
                <w:sz w:val="18"/>
              </w:rPr>
              <w:t>87.425,38</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0</w:t>
            </w:r>
          </w:p>
        </w:tc>
      </w:tr>
    </w:tbl>
    <w:p w:rsidR="001E30E3" w:rsidRDefault="001E30E3">
      <w:pPr>
        <w:spacing w:after="0"/>
      </w:pPr>
    </w:p>
    <w:p w:rsidR="001E30E3" w:rsidRDefault="00944454">
      <w:pPr>
        <w:spacing w:line="240" w:lineRule="auto"/>
        <w:jc w:val="both"/>
      </w:pPr>
      <w:r>
        <w:t xml:space="preserve">Rashodi budućih razdoblja i </w:t>
      </w:r>
      <w:r>
        <w:t>nedospjela naplata prihoda ove godine nije evidentirana iz razloga što se prijašnjih godina na ovom kontu evidentirao obračun plaće za svako tromjesečje. Od ove godine, obračun plaće ne evidentira se na taj način.</w:t>
      </w:r>
    </w:p>
    <w:p w:rsidR="001E30E3" w:rsidRDefault="001E30E3"/>
    <w:p w:rsidR="001E30E3" w:rsidRDefault="00944454">
      <w:pPr>
        <w:keepNext/>
        <w:spacing w:line="240" w:lineRule="auto"/>
        <w:jc w:val="center"/>
      </w:pPr>
      <w:r>
        <w:rPr>
          <w:b/>
          <w:sz w:val="28"/>
        </w:rPr>
        <w:t>Izvještaj o obvezama</w:t>
      </w:r>
    </w:p>
    <w:p w:rsidR="001E30E3" w:rsidRDefault="00944454">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w:t>
            </w:r>
            <w:r>
              <w:rPr>
                <w:b/>
                <w:sz w:val="18"/>
              </w:rPr>
              <w:t xml:space="preserve">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rsidR="001E30E3" w:rsidRDefault="00944454">
            <w:pPr>
              <w:keepNext/>
              <w:keepLines/>
              <w:spacing w:after="0" w:line="240" w:lineRule="auto"/>
            </w:pPr>
            <w:r>
              <w:rPr>
                <w:sz w:val="18"/>
              </w:rPr>
              <w:t>V001</w:t>
            </w:r>
          </w:p>
        </w:tc>
        <w:tc>
          <w:tcPr>
            <w:tcW w:w="1860" w:type="dxa"/>
            <w:tcMar>
              <w:top w:w="0" w:type="dxa"/>
              <w:bottom w:w="0" w:type="dxa"/>
            </w:tcMar>
            <w:vAlign w:val="center"/>
          </w:tcPr>
          <w:p w:rsidR="001E30E3" w:rsidRDefault="00944454">
            <w:pPr>
              <w:keepNext/>
              <w:keepLines/>
              <w:spacing w:after="0" w:line="240" w:lineRule="auto"/>
              <w:jc w:val="right"/>
            </w:pPr>
            <w:r>
              <w:rPr>
                <w:sz w:val="18"/>
              </w:rPr>
              <w:t>148.316,84</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Stanje obveza na početku izvještajnog razdoblja iznosilo je 148.316,84 eura. Taj </w:t>
      </w:r>
      <w:r>
        <w:t>iznos odnosio se na obveze za isplatu plaće zaposlenima, za materijalne i financijske rashode, obveze za proizvedenu  dugotrajnu imovinu i dodatna ulaganja na nefinancijskoj imovini koje su podmirene u siječnju.</w:t>
      </w:r>
    </w:p>
    <w:p w:rsidR="001E30E3" w:rsidRDefault="001E30E3"/>
    <w:p w:rsidR="001E30E3" w:rsidRDefault="00944454">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w:t>
            </w:r>
            <w:r>
              <w:rPr>
                <w:b/>
                <w:sz w:val="18"/>
              </w:rPr>
              <w:t>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rsidR="001E30E3" w:rsidRDefault="00944454">
            <w:pPr>
              <w:keepNext/>
              <w:keepLines/>
              <w:spacing w:after="0" w:line="240" w:lineRule="auto"/>
            </w:pPr>
            <w:r>
              <w:rPr>
                <w:sz w:val="18"/>
              </w:rPr>
              <w:t>V006</w:t>
            </w:r>
          </w:p>
        </w:tc>
        <w:tc>
          <w:tcPr>
            <w:tcW w:w="1860" w:type="dxa"/>
            <w:tcMar>
              <w:top w:w="0" w:type="dxa"/>
              <w:bottom w:w="0" w:type="dxa"/>
            </w:tcMar>
            <w:vAlign w:val="center"/>
          </w:tcPr>
          <w:p w:rsidR="001E30E3" w:rsidRDefault="00944454">
            <w:pPr>
              <w:keepNext/>
              <w:keepLines/>
              <w:spacing w:after="0" w:line="240" w:lineRule="auto"/>
              <w:jc w:val="right"/>
            </w:pPr>
            <w:r>
              <w:rPr>
                <w:sz w:val="18"/>
              </w:rPr>
              <w:t>110.877,35</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Stanje obveza na kraju izvještajnog razdoblja iznosi 110.877,35 eura. Navedene obveze odnose se na rashode za isplatu </w:t>
      </w:r>
      <w:r>
        <w:t>plaće, za materijalne i financijske rashode, te za obveze za predujam Ministarstva za sufinanciranje produženog boravka za pripadnike romskih nacionalnih manjina i obveze po isplaćenim bolovanjima zaposlenika na teret HZZO-a.</w:t>
      </w:r>
    </w:p>
    <w:p w:rsidR="001E30E3" w:rsidRDefault="001E30E3"/>
    <w:p w:rsidR="001E30E3" w:rsidRDefault="00944454">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w:t>
            </w:r>
            <w:r>
              <w:rPr>
                <w:b/>
                <w:sz w:val="18"/>
              </w:rPr>
              <w:t>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1E30E3" w:rsidRDefault="00944454">
            <w:pPr>
              <w:keepNext/>
              <w:keepLines/>
              <w:spacing w:after="0" w:line="240" w:lineRule="auto"/>
            </w:pPr>
            <w:r>
              <w:rPr>
                <w:sz w:val="18"/>
              </w:rPr>
              <w:t>V007</w:t>
            </w:r>
          </w:p>
        </w:tc>
        <w:tc>
          <w:tcPr>
            <w:tcW w:w="1860" w:type="dxa"/>
            <w:tcMar>
              <w:top w:w="0" w:type="dxa"/>
              <w:bottom w:w="0" w:type="dxa"/>
            </w:tcMar>
            <w:vAlign w:val="center"/>
          </w:tcPr>
          <w:p w:rsidR="001E30E3" w:rsidRDefault="00944454">
            <w:pPr>
              <w:keepNext/>
              <w:keepLines/>
              <w:spacing w:after="0" w:line="240" w:lineRule="auto"/>
              <w:jc w:val="right"/>
            </w:pPr>
            <w:r>
              <w:rPr>
                <w:sz w:val="18"/>
              </w:rPr>
              <w:t>0,00</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U prvom polugodištu ove godine nema dospjelih obveza, sve obveze podmirene su do kraja izvještajnog </w:t>
      </w:r>
      <w:r>
        <w:t>razdoblja.</w:t>
      </w:r>
    </w:p>
    <w:p w:rsidR="001E30E3" w:rsidRDefault="001E30E3"/>
    <w:p w:rsidR="001E30E3" w:rsidRDefault="00944454">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883"/>
        <w:gridCol w:w="4008"/>
        <w:gridCol w:w="882"/>
        <w:gridCol w:w="2345"/>
        <w:gridCol w:w="882"/>
      </w:tblGrid>
      <w:tr w:rsidR="001E30E3">
        <w:tblPrEx>
          <w:tblCellMar>
            <w:top w:w="0" w:type="dxa"/>
            <w:bottom w:w="0" w:type="dxa"/>
          </w:tblCellMar>
        </w:tblPrEx>
        <w:trPr>
          <w:cantSplit/>
        </w:trPr>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1E30E3" w:rsidRDefault="00944454">
            <w:pPr>
              <w:keepNext/>
              <w:keepLines/>
              <w:spacing w:after="0" w:line="240" w:lineRule="auto"/>
              <w:jc w:val="center"/>
            </w:pPr>
            <w:r>
              <w:rPr>
                <w:b/>
                <w:sz w:val="18"/>
              </w:rPr>
              <w:t>Indeks (%)</w:t>
            </w:r>
          </w:p>
        </w:tc>
      </w:tr>
      <w:tr w:rsidR="001E30E3">
        <w:tblPrEx>
          <w:tblCellMar>
            <w:top w:w="0" w:type="dxa"/>
            <w:bottom w:w="0" w:type="dxa"/>
          </w:tblCellMar>
        </w:tblPrEx>
        <w:trPr>
          <w:cantSplit/>
          <w:trHeight w:val="560"/>
        </w:trPr>
        <w:tc>
          <w:tcPr>
            <w:tcW w:w="700" w:type="dxa"/>
            <w:tcMar>
              <w:top w:w="0" w:type="dxa"/>
              <w:bottom w:w="0" w:type="dxa"/>
            </w:tcMar>
            <w:vAlign w:val="center"/>
          </w:tcPr>
          <w:p w:rsidR="001E30E3" w:rsidRDefault="001E30E3">
            <w:pPr>
              <w:keepNext/>
              <w:keepLines/>
              <w:spacing w:after="0" w:line="240" w:lineRule="auto"/>
            </w:pPr>
          </w:p>
        </w:tc>
        <w:tc>
          <w:tcPr>
            <w:tcW w:w="3180" w:type="dxa"/>
            <w:tcMar>
              <w:top w:w="0" w:type="dxa"/>
              <w:bottom w:w="0" w:type="dxa"/>
            </w:tcMar>
            <w:vAlign w:val="center"/>
          </w:tcPr>
          <w:p w:rsidR="001E30E3" w:rsidRDefault="00944454">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rsidR="001E30E3" w:rsidRDefault="00944454">
            <w:pPr>
              <w:keepNext/>
              <w:keepLines/>
              <w:spacing w:after="0" w:line="240" w:lineRule="auto"/>
            </w:pPr>
            <w:r>
              <w:rPr>
                <w:sz w:val="18"/>
              </w:rPr>
              <w:t>V009</w:t>
            </w:r>
          </w:p>
        </w:tc>
        <w:tc>
          <w:tcPr>
            <w:tcW w:w="1860" w:type="dxa"/>
            <w:tcMar>
              <w:top w:w="0" w:type="dxa"/>
              <w:bottom w:w="0" w:type="dxa"/>
            </w:tcMar>
            <w:vAlign w:val="center"/>
          </w:tcPr>
          <w:p w:rsidR="001E30E3" w:rsidRDefault="00944454">
            <w:pPr>
              <w:keepNext/>
              <w:keepLines/>
              <w:spacing w:after="0" w:line="240" w:lineRule="auto"/>
              <w:jc w:val="right"/>
            </w:pPr>
            <w:r>
              <w:rPr>
                <w:sz w:val="18"/>
              </w:rPr>
              <w:t>110.877,35</w:t>
            </w:r>
          </w:p>
        </w:tc>
        <w:tc>
          <w:tcPr>
            <w:tcW w:w="700" w:type="dxa"/>
            <w:tcMar>
              <w:top w:w="0" w:type="dxa"/>
              <w:bottom w:w="0" w:type="dxa"/>
            </w:tcMar>
            <w:vAlign w:val="center"/>
          </w:tcPr>
          <w:p w:rsidR="001E30E3" w:rsidRDefault="00944454">
            <w:pPr>
              <w:keepNext/>
              <w:keepLines/>
              <w:spacing w:after="0" w:line="240" w:lineRule="auto"/>
              <w:jc w:val="right"/>
            </w:pPr>
            <w:r>
              <w:rPr>
                <w:sz w:val="18"/>
              </w:rPr>
              <w:t>-</w:t>
            </w:r>
          </w:p>
        </w:tc>
      </w:tr>
    </w:tbl>
    <w:p w:rsidR="001E30E3" w:rsidRDefault="001E30E3">
      <w:pPr>
        <w:spacing w:after="0"/>
      </w:pPr>
    </w:p>
    <w:p w:rsidR="001E30E3" w:rsidRDefault="00944454">
      <w:pPr>
        <w:spacing w:line="240" w:lineRule="auto"/>
        <w:jc w:val="both"/>
      </w:pPr>
      <w:r>
        <w:t xml:space="preserve">Stanje nedospjelih obveza na kraju </w:t>
      </w:r>
      <w:r>
        <w:t xml:space="preserve">izvještajnog razdoblja iznosi 110.877,35 eura. Nedospjele obveze koje će biti podmirene u srpnju odnose se na obveze za plaću iznosu 102.541,54 eura, obveze za materijalne rashode u iznosu 2.662,91 eura te obveze za financijske rashode 23,86 eura. Također </w:t>
      </w:r>
      <w:r>
        <w:t>tu su i obveze za povrat predujma Ministarstva za financiranje produženog  boravka  pripadnika romskih nacionalnih manjina u iznosu 579,00 eura i obveze za isplatu naknada za bolovanje zaposlenika na teret HZZO-a u iznosu 5.070,04 eura.</w:t>
      </w:r>
    </w:p>
    <w:p w:rsidR="001E30E3" w:rsidRDefault="001E30E3"/>
    <w:sectPr w:rsidR="001E3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E3"/>
    <w:rsid w:val="001E30E3"/>
    <w:rsid w:val="009444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AF2B4-5F3A-4A59-8750-66C113E1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2651</Words>
  <Characters>15114</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2025-07-09T10:23:00Z</dcterms:created>
  <dcterms:modified xsi:type="dcterms:W3CDTF">2025-07-09T10:23:00Z</dcterms:modified>
</cp:coreProperties>
</file>