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4E04" w:rsidRPr="00446203" w:rsidRDefault="00134E04" w:rsidP="00134E04">
      <w:pPr>
        <w:jc w:val="both"/>
        <w:rPr>
          <w:b/>
        </w:rPr>
      </w:pPr>
      <w:r w:rsidRPr="00446203">
        <w:rPr>
          <w:b/>
        </w:rPr>
        <w:t>V. OSNOVNA ŠKOLA VARAŽDIN</w:t>
      </w:r>
    </w:p>
    <w:p w:rsidR="00134E04" w:rsidRPr="00446203" w:rsidRDefault="00D10929" w:rsidP="00134E04">
      <w:pPr>
        <w:jc w:val="both"/>
        <w:rPr>
          <w:b/>
        </w:rPr>
      </w:pPr>
      <w:r>
        <w:rPr>
          <w:b/>
        </w:rPr>
        <w:t>VATROGASNA ULICA 5</w:t>
      </w:r>
    </w:p>
    <w:p w:rsidR="00134E04" w:rsidRPr="00446203" w:rsidRDefault="00134E04" w:rsidP="00134E04">
      <w:pPr>
        <w:jc w:val="both"/>
        <w:rPr>
          <w:b/>
        </w:rPr>
      </w:pPr>
      <w:r w:rsidRPr="00446203">
        <w:rPr>
          <w:b/>
        </w:rPr>
        <w:t>42 000  VARAŽDIN</w:t>
      </w:r>
    </w:p>
    <w:p w:rsidR="00134E04" w:rsidRPr="00446203" w:rsidRDefault="00134E04" w:rsidP="00134E04">
      <w:pPr>
        <w:jc w:val="both"/>
      </w:pPr>
      <w:r w:rsidRPr="00446203">
        <w:t>MB: 3005968</w:t>
      </w:r>
    </w:p>
    <w:p w:rsidR="00134E04" w:rsidRPr="00446203" w:rsidRDefault="00134E04" w:rsidP="00134E04">
      <w:pPr>
        <w:jc w:val="both"/>
      </w:pPr>
      <w:r w:rsidRPr="00446203">
        <w:t>OIB: 92948647703</w:t>
      </w:r>
    </w:p>
    <w:p w:rsidR="00134E04" w:rsidRPr="00446203" w:rsidRDefault="00A33C2D" w:rsidP="00134E04">
      <w:pPr>
        <w:jc w:val="both"/>
      </w:pPr>
      <w:r>
        <w:t>Šifra ustanove: 05-086-005</w:t>
      </w:r>
    </w:p>
    <w:p w:rsidR="00134E04" w:rsidRPr="00446203" w:rsidRDefault="00134E04" w:rsidP="00134E04">
      <w:pPr>
        <w:jc w:val="both"/>
      </w:pPr>
      <w:r w:rsidRPr="00446203">
        <w:t>Razina: 31 (proračunski korisnik jedinice lokalne i područne ( regionalne) samouprave koji obavlja poslove u sklopu decentraliziranih funkcija)</w:t>
      </w:r>
    </w:p>
    <w:p w:rsidR="00134E04" w:rsidRPr="00446203" w:rsidRDefault="00134E04" w:rsidP="00134E04">
      <w:pPr>
        <w:jc w:val="both"/>
      </w:pPr>
      <w:r w:rsidRPr="00446203">
        <w:t>Šifra djelatnosti: 8520</w:t>
      </w:r>
    </w:p>
    <w:p w:rsidR="00134E04" w:rsidRPr="00446203" w:rsidRDefault="00134E04" w:rsidP="00134E04">
      <w:pPr>
        <w:jc w:val="both"/>
      </w:pPr>
    </w:p>
    <w:p w:rsidR="00134E04" w:rsidRPr="00446203" w:rsidRDefault="00134E04" w:rsidP="00134E04">
      <w:pPr>
        <w:jc w:val="both"/>
      </w:pPr>
    </w:p>
    <w:p w:rsidR="00134E04" w:rsidRDefault="00134E04" w:rsidP="00134E04">
      <w:pPr>
        <w:jc w:val="center"/>
        <w:rPr>
          <w:b/>
        </w:rPr>
      </w:pPr>
      <w:r w:rsidRPr="00446203">
        <w:rPr>
          <w:b/>
        </w:rPr>
        <w:t xml:space="preserve">OBRAZLOŽENJE </w:t>
      </w:r>
      <w:r w:rsidR="00A33C2D">
        <w:rPr>
          <w:b/>
        </w:rPr>
        <w:t>FINANCIJSKOG PLANA ZA 2021</w:t>
      </w:r>
      <w:r>
        <w:rPr>
          <w:b/>
        </w:rPr>
        <w:t xml:space="preserve">. GODINU </w:t>
      </w:r>
    </w:p>
    <w:p w:rsidR="00134E04" w:rsidRPr="00446203" w:rsidRDefault="00A33C2D" w:rsidP="00134E04">
      <w:pPr>
        <w:jc w:val="center"/>
        <w:rPr>
          <w:b/>
        </w:rPr>
      </w:pPr>
      <w:r>
        <w:rPr>
          <w:b/>
        </w:rPr>
        <w:t xml:space="preserve"> I PROJEKCIJA ZA 2022. i 2023</w:t>
      </w:r>
      <w:r w:rsidR="00134E04">
        <w:rPr>
          <w:b/>
        </w:rPr>
        <w:t>. GODINU</w:t>
      </w:r>
    </w:p>
    <w:p w:rsidR="00134E04" w:rsidRPr="00446203" w:rsidRDefault="00134E04" w:rsidP="00134E04">
      <w:pPr>
        <w:jc w:val="both"/>
      </w:pPr>
    </w:p>
    <w:p w:rsidR="00134E04" w:rsidRPr="00446203" w:rsidRDefault="00134E04" w:rsidP="00134E04">
      <w:pPr>
        <w:jc w:val="both"/>
      </w:pPr>
    </w:p>
    <w:p w:rsidR="00134E04" w:rsidRPr="00624538" w:rsidRDefault="00134E04" w:rsidP="00134E04">
      <w:pPr>
        <w:spacing w:before="120" w:after="120"/>
        <w:jc w:val="both"/>
        <w:rPr>
          <w:b/>
        </w:rPr>
      </w:pPr>
      <w:r w:rsidRPr="00624538">
        <w:rPr>
          <w:b/>
          <w:highlight w:val="yellow"/>
        </w:rPr>
        <w:t>1.Sažetak djelokruga rada proračunskog korisnika</w:t>
      </w:r>
    </w:p>
    <w:p w:rsidR="00134E04" w:rsidRPr="00446203" w:rsidRDefault="00134E04" w:rsidP="00134E04">
      <w:pPr>
        <w:spacing w:before="120" w:after="120"/>
        <w:ind w:firstLine="708"/>
        <w:jc w:val="both"/>
      </w:pPr>
      <w:r w:rsidRPr="00446203">
        <w:t>V. osnovna škola Varaždin je ustanova koja pruža osnovno obrazovanje učenicima od 1. do 8. razreda. Nastava je organizirana u jednoj smjeni.</w:t>
      </w:r>
    </w:p>
    <w:p w:rsidR="00134E04" w:rsidRPr="00446203" w:rsidRDefault="00134E04" w:rsidP="00134E04">
      <w:pPr>
        <w:spacing w:before="120" w:after="120"/>
        <w:ind w:firstLine="708"/>
        <w:jc w:val="both"/>
      </w:pPr>
      <w:r w:rsidRPr="00446203">
        <w:t xml:space="preserve">Nastava se odvija u oblicima: redovna, izborna, dodatna  i dopunska, a izvodi se prema  nastavnim planovima i programima koje je donijelo Ministarstvo znanosti,obrazovanja i športa, prema Godišnjem planu i programu rada i Školskom kurikulumu za školsku godinu </w:t>
      </w:r>
      <w:r w:rsidR="00A33C2D">
        <w:t>2020./2021</w:t>
      </w:r>
      <w:r w:rsidRPr="00907E57">
        <w:t>.</w:t>
      </w:r>
    </w:p>
    <w:p w:rsidR="00134E04" w:rsidRPr="00446203" w:rsidRDefault="00134E04" w:rsidP="00134E04">
      <w:pPr>
        <w:jc w:val="both"/>
        <w:rPr>
          <w:lang w:eastAsia="en-US"/>
        </w:rPr>
      </w:pPr>
      <w:r w:rsidRPr="00446203">
        <w:rPr>
          <w:lang w:eastAsia="en-US"/>
        </w:rPr>
        <w:t xml:space="preserve">           Škola za učenike s navršenih 15 godina života, kao i za odrasle osobe koje nisu završile osnovnu školu, organizira osnovno obrazovanje po nastavnom planu i programu u skladu sa zakonom temeljem odgovarajućeg rješenja Ministarstva znanosti, obrazovanja i športa.</w:t>
      </w:r>
    </w:p>
    <w:p w:rsidR="00134E04" w:rsidRPr="00446203" w:rsidRDefault="00134E04" w:rsidP="00134E04">
      <w:pPr>
        <w:spacing w:before="120" w:after="120"/>
        <w:ind w:firstLine="708"/>
        <w:jc w:val="both"/>
      </w:pPr>
      <w:r>
        <w:t xml:space="preserve">Školu </w:t>
      </w:r>
      <w:r w:rsidRPr="00446203">
        <w:t xml:space="preserve">u školskoj </w:t>
      </w:r>
      <w:r w:rsidR="00A33C2D">
        <w:t>godini 2020</w:t>
      </w:r>
      <w:r w:rsidRPr="00907E57">
        <w:t>./20</w:t>
      </w:r>
      <w:r w:rsidR="00A33C2D">
        <w:t>21</w:t>
      </w:r>
      <w:r>
        <w:t xml:space="preserve">.  polazi </w:t>
      </w:r>
      <w:r w:rsidR="00F55204" w:rsidRPr="00F55204">
        <w:t>263</w:t>
      </w:r>
      <w:r w:rsidRPr="00F55204">
        <w:t xml:space="preserve"> učenika </w:t>
      </w:r>
      <w:r w:rsidRPr="00907E57">
        <w:t xml:space="preserve">u 16 razrednih odjela. </w:t>
      </w:r>
      <w:r w:rsidRPr="00446203">
        <w:t>Planiramo da se broj učenika</w:t>
      </w:r>
      <w:r w:rsidR="00F55204">
        <w:t xml:space="preserve">  mijenjati, a da će broj razrednih odjela</w:t>
      </w:r>
      <w:r w:rsidRPr="00446203">
        <w:t xml:space="preserve"> </w:t>
      </w:r>
      <w:r w:rsidR="00F55204">
        <w:t>biti isti</w:t>
      </w:r>
      <w:r w:rsidRPr="00446203">
        <w:t xml:space="preserve"> narednih godina, a to će ovisiti o broju upisanih učenika  u 1. razred.</w:t>
      </w:r>
    </w:p>
    <w:p w:rsidR="00134E04" w:rsidRPr="00446203" w:rsidRDefault="00134E04" w:rsidP="00134E04">
      <w:pPr>
        <w:jc w:val="both"/>
      </w:pPr>
    </w:p>
    <w:p w:rsidR="00134E04" w:rsidRPr="00446203" w:rsidRDefault="00134E04" w:rsidP="00134E04">
      <w:pPr>
        <w:spacing w:before="120" w:after="120"/>
        <w:jc w:val="both"/>
        <w:rPr>
          <w:b/>
        </w:rPr>
      </w:pPr>
      <w:r w:rsidRPr="00624538">
        <w:rPr>
          <w:b/>
          <w:highlight w:val="yellow"/>
        </w:rPr>
        <w:t>2.</w:t>
      </w:r>
      <w:r w:rsidRPr="00446203">
        <w:rPr>
          <w:b/>
        </w:rPr>
        <w:t xml:space="preserve"> </w:t>
      </w:r>
      <w:r w:rsidRPr="00624538">
        <w:rPr>
          <w:b/>
          <w:highlight w:val="yellow"/>
        </w:rPr>
        <w:t>Obrazloženje programa rada školske ustanove</w:t>
      </w:r>
    </w:p>
    <w:p w:rsidR="00134E04" w:rsidRPr="00446203" w:rsidRDefault="00134E04" w:rsidP="00134E04">
      <w:pPr>
        <w:spacing w:before="120" w:after="120"/>
        <w:ind w:firstLine="708"/>
        <w:jc w:val="both"/>
      </w:pPr>
      <w:r w:rsidRPr="00446203">
        <w:t>Prioritet škole je kvalitetno obrazovanje i odgoj učenika što ostvarujemo:</w:t>
      </w:r>
    </w:p>
    <w:p w:rsidR="00134E04" w:rsidRPr="00446203" w:rsidRDefault="00134E04" w:rsidP="00134E04">
      <w:pPr>
        <w:jc w:val="both"/>
      </w:pPr>
      <w:r w:rsidRPr="00446203">
        <w:t>- stalnim usavršavanjem  nastavnika (seminari, stručni skupovi, aktivi) i podizanjem nastavnog standarda na višu razinu;</w:t>
      </w:r>
    </w:p>
    <w:p w:rsidR="00134E04" w:rsidRPr="00446203" w:rsidRDefault="00134E04" w:rsidP="00134E04">
      <w:pPr>
        <w:jc w:val="both"/>
      </w:pPr>
      <w:r w:rsidRPr="00446203">
        <w:t>- poticanjem  učenika na izražavanje kreativnosti, talenata i sposobnosti kroz uključivanje u slobodne aktivnosti, natjecanja, prijave na literarne i likovne natječaje, školske projekte, priredbe i manifestacije u školi i šire;</w:t>
      </w:r>
    </w:p>
    <w:p w:rsidR="00134E04" w:rsidRPr="00446203" w:rsidRDefault="00134E04" w:rsidP="00134E04">
      <w:pPr>
        <w:jc w:val="both"/>
      </w:pPr>
      <w:r w:rsidRPr="00446203">
        <w:t>- poticanje za sudjelovanje na sportskim aktivnostima, uključivanje kroz natjecanja na školskoj razini i šire;</w:t>
      </w:r>
    </w:p>
    <w:p w:rsidR="00134E04" w:rsidRPr="00446203" w:rsidRDefault="00134E04" w:rsidP="00134E04">
      <w:pPr>
        <w:jc w:val="both"/>
      </w:pPr>
      <w:r w:rsidRPr="00446203">
        <w:t>- organiziranje zajedničkih aktivnosti učenika i učitelja tijekom izvannastavnih aktivnosti, na organizaciji u upoznavanju kulturne i duhovne baštine;</w:t>
      </w:r>
    </w:p>
    <w:p w:rsidR="00134E04" w:rsidRPr="00446203" w:rsidRDefault="00134E04" w:rsidP="00134E04">
      <w:pPr>
        <w:jc w:val="both"/>
      </w:pPr>
      <w:r w:rsidRPr="00446203">
        <w:t>- poticanje razvoja pozitivnih vrijednosti i natjecateljskog duha kroz razne nagrade najuspješnijim pojedincima.</w:t>
      </w:r>
    </w:p>
    <w:p w:rsidR="00134E04" w:rsidRPr="00446203" w:rsidRDefault="00134E04" w:rsidP="00134E04">
      <w:pPr>
        <w:jc w:val="both"/>
      </w:pPr>
    </w:p>
    <w:p w:rsidR="00134E04" w:rsidRPr="00446203" w:rsidRDefault="00134E04" w:rsidP="00134E04">
      <w:pPr>
        <w:jc w:val="both"/>
      </w:pPr>
    </w:p>
    <w:p w:rsidR="00134E04" w:rsidRPr="00446203" w:rsidRDefault="00134E04" w:rsidP="00134E04">
      <w:pPr>
        <w:jc w:val="both"/>
      </w:pPr>
    </w:p>
    <w:p w:rsidR="00134E04" w:rsidRPr="00446203" w:rsidRDefault="00134E04" w:rsidP="00134E04">
      <w:pPr>
        <w:jc w:val="both"/>
      </w:pPr>
    </w:p>
    <w:p w:rsidR="00134E04" w:rsidRPr="00446203" w:rsidRDefault="00134E04" w:rsidP="00134E04">
      <w:pPr>
        <w:jc w:val="both"/>
      </w:pPr>
    </w:p>
    <w:p w:rsidR="00134E04" w:rsidRPr="00446203" w:rsidRDefault="00134E04" w:rsidP="00134E04">
      <w:pPr>
        <w:jc w:val="both"/>
        <w:rPr>
          <w:b/>
        </w:rPr>
      </w:pPr>
      <w:r w:rsidRPr="00624538">
        <w:rPr>
          <w:b/>
          <w:highlight w:val="yellow"/>
        </w:rPr>
        <w:t>3. Zakonske i druge podloge na kojima se zasniva program rada škole</w:t>
      </w:r>
    </w:p>
    <w:p w:rsidR="00134E04" w:rsidRPr="00AF6AB0" w:rsidRDefault="00134E04" w:rsidP="00134E04">
      <w:pPr>
        <w:jc w:val="both"/>
        <w:rPr>
          <w:b/>
        </w:rPr>
      </w:pPr>
    </w:p>
    <w:p w:rsidR="00134E04" w:rsidRPr="00AF6AB0" w:rsidRDefault="00134E04" w:rsidP="00A660E6">
      <w:pPr>
        <w:jc w:val="both"/>
      </w:pPr>
      <w:r w:rsidRPr="00AF6AB0">
        <w:t xml:space="preserve">- Zakon o odgoju i obrazovanju u osnovnoj i srednjoj školi („Narodne </w:t>
      </w:r>
      <w:r w:rsidR="003C17A3" w:rsidRPr="00AF6AB0">
        <w:t>Novine“ broj 87/08., 86/09., 92/10., 105/10</w:t>
      </w:r>
      <w:r w:rsidRPr="00AF6AB0">
        <w:t xml:space="preserve">, </w:t>
      </w:r>
      <w:r w:rsidR="003C17A3" w:rsidRPr="00AF6AB0">
        <w:t xml:space="preserve">90/11., 5/12., 16/12., 86/12, </w:t>
      </w:r>
      <w:r w:rsidRPr="00AF6AB0">
        <w:t>126/12.,</w:t>
      </w:r>
      <w:r w:rsidR="003C17A3" w:rsidRPr="00AF6AB0">
        <w:t xml:space="preserve"> </w:t>
      </w:r>
      <w:r w:rsidRPr="00AF6AB0">
        <w:t>94/13.</w:t>
      </w:r>
      <w:r w:rsidR="003C17A3" w:rsidRPr="00AF6AB0">
        <w:t xml:space="preserve">, </w:t>
      </w:r>
      <w:r w:rsidRPr="00AF6AB0">
        <w:t>152/14.</w:t>
      </w:r>
      <w:r w:rsidR="003C17A3" w:rsidRPr="00AF6AB0">
        <w:t>, 07/17., 68/18., 98/19., 64/20.</w:t>
      </w:r>
      <w:r w:rsidRPr="00AF6AB0">
        <w:t>),</w:t>
      </w:r>
    </w:p>
    <w:p w:rsidR="00134E04" w:rsidRPr="00AF6AB0" w:rsidRDefault="00134E04" w:rsidP="00A660E6">
      <w:pPr>
        <w:jc w:val="both"/>
      </w:pPr>
      <w:r w:rsidRPr="00AF6AB0">
        <w:t>-  Zakon o ustanovama ( Narodne Novine broj  76/93., 29/97., 47/99., 35/08.</w:t>
      </w:r>
      <w:r w:rsidR="003C17A3" w:rsidRPr="00AF6AB0">
        <w:t>,127/19</w:t>
      </w:r>
      <w:r w:rsidRPr="00AF6AB0">
        <w:t>),</w:t>
      </w:r>
    </w:p>
    <w:p w:rsidR="00134E04" w:rsidRPr="00AF6AB0" w:rsidRDefault="00134E04" w:rsidP="00A660E6">
      <w:pPr>
        <w:jc w:val="both"/>
      </w:pPr>
      <w:r w:rsidRPr="00AF6AB0">
        <w:t>- Zakon o proračunu ( Narodne Novine broj. 87/08.,136/12. i 15/15.), Pravilnik o proračunskim klasifikacijama („Narodne novine“ broj 26/10. i 120/13</w:t>
      </w:r>
      <w:r w:rsidR="00A33C2D" w:rsidRPr="00AF6AB0">
        <w:t>, 01/20</w:t>
      </w:r>
      <w:r w:rsidRPr="00AF6AB0">
        <w:t>) i Pravilnik o proračunskom računovodstvu i računskom planu („Narodne novine“ broj 124/14.)</w:t>
      </w:r>
    </w:p>
    <w:p w:rsidR="00134E04" w:rsidRPr="00AF6AB0" w:rsidRDefault="00134E04" w:rsidP="00A660E6">
      <w:pPr>
        <w:jc w:val="both"/>
      </w:pPr>
      <w:r w:rsidRPr="00AF6AB0">
        <w:t>- Godišnji plan i pro</w:t>
      </w:r>
      <w:r w:rsidR="00AF6AB0" w:rsidRPr="00AF6AB0">
        <w:t>gram za školsku  2020./2021. godinu (KLASA: 602-02/20-01/34</w:t>
      </w:r>
      <w:r w:rsidRPr="00AF6AB0">
        <w:t>, URBROJ:</w:t>
      </w:r>
      <w:r w:rsidRPr="00AF6AB0">
        <w:rPr>
          <w:rFonts w:ascii="FranklinGothicBook" w:hAnsi="FranklinGothicBook" w:cs="FranklinGothicBook"/>
        </w:rPr>
        <w:t xml:space="preserve"> </w:t>
      </w:r>
      <w:r w:rsidR="00AF6AB0" w:rsidRPr="00AF6AB0">
        <w:t>2186-100-05-20-1) od 05. listopada 2020</w:t>
      </w:r>
      <w:r w:rsidRPr="00AF6AB0">
        <w:t>. godine,</w:t>
      </w:r>
    </w:p>
    <w:p w:rsidR="00134E04" w:rsidRPr="00AF6AB0" w:rsidRDefault="003C17A3" w:rsidP="00A660E6">
      <w:pPr>
        <w:widowControl w:val="0"/>
        <w:autoSpaceDE w:val="0"/>
        <w:autoSpaceDN w:val="0"/>
        <w:adjustRightInd w:val="0"/>
        <w:ind w:left="116"/>
        <w:jc w:val="both"/>
      </w:pPr>
      <w:r w:rsidRPr="00AF6AB0">
        <w:t xml:space="preserve">-  Školski </w:t>
      </w:r>
      <w:proofErr w:type="spellStart"/>
      <w:r w:rsidRPr="00AF6AB0">
        <w:t>kurikul</w:t>
      </w:r>
      <w:proofErr w:type="spellEnd"/>
      <w:r w:rsidRPr="00AF6AB0">
        <w:t xml:space="preserve">  za školsku godinu  2020. /2021</w:t>
      </w:r>
      <w:r w:rsidR="00134E04" w:rsidRPr="00AF6AB0">
        <w:t>. (</w:t>
      </w:r>
      <w:r w:rsidR="00134E04" w:rsidRPr="00AF6AB0">
        <w:rPr>
          <w:bCs/>
          <w:spacing w:val="-1"/>
        </w:rPr>
        <w:t>K</w:t>
      </w:r>
      <w:r w:rsidR="00134E04" w:rsidRPr="00AF6AB0">
        <w:rPr>
          <w:bCs/>
          <w:spacing w:val="1"/>
        </w:rPr>
        <w:t>LA</w:t>
      </w:r>
      <w:r w:rsidR="00134E04" w:rsidRPr="00AF6AB0">
        <w:rPr>
          <w:bCs/>
          <w:spacing w:val="-1"/>
        </w:rPr>
        <w:t>S</w:t>
      </w:r>
      <w:r w:rsidR="00134E04" w:rsidRPr="00AF6AB0">
        <w:rPr>
          <w:bCs/>
          <w:spacing w:val="1"/>
        </w:rPr>
        <w:t>A</w:t>
      </w:r>
      <w:r w:rsidR="00134E04" w:rsidRPr="00AF6AB0">
        <w:rPr>
          <w:bCs/>
        </w:rPr>
        <w:t>:</w:t>
      </w:r>
      <w:r w:rsidR="00134E04" w:rsidRPr="00AF6AB0">
        <w:rPr>
          <w:bCs/>
          <w:spacing w:val="-10"/>
        </w:rPr>
        <w:t xml:space="preserve"> </w:t>
      </w:r>
      <w:r w:rsidR="00134E04" w:rsidRPr="00AF6AB0">
        <w:rPr>
          <w:bCs/>
        </w:rPr>
        <w:t>60</w:t>
      </w:r>
      <w:r w:rsidR="00134E04" w:rsidRPr="00AF6AB0">
        <w:rPr>
          <w:bCs/>
          <w:spacing w:val="5"/>
        </w:rPr>
        <w:t>2</w:t>
      </w:r>
      <w:r w:rsidR="00134E04" w:rsidRPr="00AF6AB0">
        <w:rPr>
          <w:bCs/>
          <w:spacing w:val="-1"/>
        </w:rPr>
        <w:t>-</w:t>
      </w:r>
      <w:r w:rsidR="00134E04" w:rsidRPr="00AF6AB0">
        <w:rPr>
          <w:bCs/>
        </w:rPr>
        <w:t>02</w:t>
      </w:r>
      <w:r w:rsidR="00134E04" w:rsidRPr="00AF6AB0">
        <w:rPr>
          <w:bCs/>
          <w:spacing w:val="4"/>
        </w:rPr>
        <w:t>/</w:t>
      </w:r>
      <w:r w:rsidRPr="00AF6AB0">
        <w:rPr>
          <w:bCs/>
        </w:rPr>
        <w:t>20</w:t>
      </w:r>
      <w:r w:rsidR="00134E04" w:rsidRPr="00AF6AB0">
        <w:rPr>
          <w:bCs/>
          <w:spacing w:val="-1"/>
        </w:rPr>
        <w:t>-</w:t>
      </w:r>
      <w:r w:rsidRPr="00AF6AB0">
        <w:rPr>
          <w:bCs/>
        </w:rPr>
        <w:t>01/33</w:t>
      </w:r>
      <w:r w:rsidR="00134E04" w:rsidRPr="00AF6AB0">
        <w:rPr>
          <w:bCs/>
        </w:rPr>
        <w:t>,</w:t>
      </w:r>
    </w:p>
    <w:p w:rsidR="00134E04" w:rsidRPr="00AF6AB0" w:rsidRDefault="00134E04" w:rsidP="00A660E6">
      <w:pPr>
        <w:jc w:val="both"/>
      </w:pPr>
      <w:r w:rsidRPr="00AF6AB0">
        <w:rPr>
          <w:bCs/>
          <w:spacing w:val="1"/>
        </w:rPr>
        <w:t>URBR</w:t>
      </w:r>
      <w:r w:rsidRPr="00AF6AB0">
        <w:rPr>
          <w:bCs/>
          <w:spacing w:val="-1"/>
        </w:rPr>
        <w:t>O</w:t>
      </w:r>
      <w:r w:rsidRPr="00AF6AB0">
        <w:rPr>
          <w:bCs/>
        </w:rPr>
        <w:t>J:</w:t>
      </w:r>
      <w:r w:rsidRPr="00AF6AB0">
        <w:rPr>
          <w:bCs/>
          <w:spacing w:val="-11"/>
        </w:rPr>
        <w:t xml:space="preserve"> </w:t>
      </w:r>
      <w:r w:rsidRPr="00AF6AB0">
        <w:rPr>
          <w:bCs/>
        </w:rPr>
        <w:t>218</w:t>
      </w:r>
      <w:r w:rsidRPr="00AF6AB0">
        <w:rPr>
          <w:bCs/>
          <w:spacing w:val="5"/>
        </w:rPr>
        <w:t>6</w:t>
      </w:r>
      <w:r w:rsidRPr="00AF6AB0">
        <w:rPr>
          <w:bCs/>
          <w:spacing w:val="-1"/>
        </w:rPr>
        <w:t>-</w:t>
      </w:r>
      <w:r w:rsidRPr="00AF6AB0">
        <w:rPr>
          <w:bCs/>
        </w:rPr>
        <w:t>100</w:t>
      </w:r>
      <w:r w:rsidRPr="00AF6AB0">
        <w:rPr>
          <w:bCs/>
          <w:spacing w:val="-1"/>
        </w:rPr>
        <w:t>-</w:t>
      </w:r>
      <w:r w:rsidRPr="00AF6AB0">
        <w:rPr>
          <w:bCs/>
        </w:rPr>
        <w:t>05</w:t>
      </w:r>
      <w:r w:rsidRPr="00AF6AB0">
        <w:rPr>
          <w:bCs/>
          <w:spacing w:val="3"/>
        </w:rPr>
        <w:t>-</w:t>
      </w:r>
      <w:r w:rsidR="003C17A3" w:rsidRPr="00AF6AB0">
        <w:rPr>
          <w:bCs/>
        </w:rPr>
        <w:t>20</w:t>
      </w:r>
      <w:r w:rsidRPr="00AF6AB0">
        <w:rPr>
          <w:bCs/>
          <w:spacing w:val="-1"/>
        </w:rPr>
        <w:t>-</w:t>
      </w:r>
      <w:r w:rsidRPr="00AF6AB0">
        <w:rPr>
          <w:bCs/>
        </w:rPr>
        <w:t>1)</w:t>
      </w:r>
      <w:r w:rsidR="003C17A3" w:rsidRPr="00AF6AB0">
        <w:t xml:space="preserve"> od 05. listopada 2020</w:t>
      </w:r>
      <w:r w:rsidRPr="00AF6AB0">
        <w:t>. godine.</w:t>
      </w:r>
    </w:p>
    <w:p w:rsidR="00134E04" w:rsidRPr="00AF6AB0" w:rsidRDefault="00134E04" w:rsidP="00134E04">
      <w:pPr>
        <w:jc w:val="both"/>
      </w:pPr>
    </w:p>
    <w:p w:rsidR="00134E04" w:rsidRPr="00446203" w:rsidRDefault="00134E04" w:rsidP="00134E04">
      <w:pPr>
        <w:jc w:val="both"/>
      </w:pPr>
    </w:p>
    <w:p w:rsidR="00134E04" w:rsidRPr="00446203" w:rsidRDefault="00134E04" w:rsidP="00134E04">
      <w:pPr>
        <w:jc w:val="both"/>
        <w:rPr>
          <w:b/>
        </w:rPr>
      </w:pPr>
      <w:r w:rsidRPr="00624538">
        <w:rPr>
          <w:b/>
          <w:highlight w:val="yellow"/>
        </w:rPr>
        <w:t>4. Usklađenost ciljeva,strategije i programa s dokumentima dugoročnog razvoja</w:t>
      </w:r>
    </w:p>
    <w:p w:rsidR="00134E04" w:rsidRPr="00446203" w:rsidRDefault="00134E04" w:rsidP="00134E04">
      <w:pPr>
        <w:jc w:val="both"/>
        <w:rPr>
          <w:b/>
        </w:rPr>
      </w:pPr>
    </w:p>
    <w:p w:rsidR="00134E04" w:rsidRPr="00446203" w:rsidRDefault="00134E04" w:rsidP="00A660E6">
      <w:pPr>
        <w:ind w:firstLine="708"/>
        <w:jc w:val="both"/>
      </w:pPr>
      <w:r w:rsidRPr="00446203">
        <w:t>Školske ustanove ne donose strateške, već godišnje operativne planove prema Planu i programu koje je donijelo Ministarstvo znanosti, obrazovanja i sporta.</w:t>
      </w:r>
    </w:p>
    <w:p w:rsidR="00134E04" w:rsidRPr="00446203" w:rsidRDefault="00134E04" w:rsidP="00A660E6">
      <w:pPr>
        <w:ind w:firstLine="708"/>
        <w:jc w:val="both"/>
      </w:pPr>
      <w:r w:rsidRPr="00446203">
        <w:t xml:space="preserve">Također planovi se donose za nastavnu, a ne fiskalnu godinu, to je uzrok mnogim odstupanjima u izvršenju financijskih planova, odnosno pomak određenih aktivnosti iz jednog u drugo polugodište uzrokuje promjene u izvršenju financijskog plana za dvije fiskalne godine. </w:t>
      </w:r>
    </w:p>
    <w:p w:rsidR="00134E04" w:rsidRPr="00446203" w:rsidRDefault="00134E04" w:rsidP="00134E04">
      <w:pPr>
        <w:ind w:firstLine="708"/>
        <w:jc w:val="both"/>
      </w:pPr>
    </w:p>
    <w:p w:rsidR="00134E04" w:rsidRPr="00446203" w:rsidRDefault="00134E04" w:rsidP="00134E04">
      <w:pPr>
        <w:ind w:firstLine="708"/>
        <w:jc w:val="both"/>
      </w:pPr>
    </w:p>
    <w:tbl>
      <w:tblPr>
        <w:tblW w:w="0" w:type="auto"/>
        <w:tblLook w:val="01E0" w:firstRow="1" w:lastRow="1" w:firstColumn="1" w:lastColumn="1" w:noHBand="0" w:noVBand="0"/>
      </w:tblPr>
      <w:tblGrid>
        <w:gridCol w:w="1342"/>
        <w:gridCol w:w="1511"/>
        <w:gridCol w:w="928"/>
        <w:gridCol w:w="1118"/>
        <w:gridCol w:w="1041"/>
        <w:gridCol w:w="1116"/>
        <w:gridCol w:w="1116"/>
        <w:gridCol w:w="1116"/>
      </w:tblGrid>
      <w:tr w:rsidR="00134E04" w:rsidRPr="00624538" w:rsidTr="009A6C1A">
        <w:trPr>
          <w:trHeight w:val="470"/>
        </w:trPr>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Pokazatelj rezultata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Definicija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Jedinica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Polazna vrijednost</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Izvor podataka</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AF6AB0" w:rsidP="009A6C1A">
            <w:pPr>
              <w:jc w:val="center"/>
              <w:rPr>
                <w:b/>
                <w:sz w:val="20"/>
                <w:szCs w:val="20"/>
              </w:rPr>
            </w:pPr>
            <w:r>
              <w:rPr>
                <w:b/>
                <w:sz w:val="20"/>
                <w:szCs w:val="20"/>
              </w:rPr>
              <w:t>(2021</w:t>
            </w:r>
            <w:r w:rsidR="00134E04" w:rsidRPr="00907E57">
              <w:rPr>
                <w:b/>
                <w:sz w:val="20"/>
                <w:szCs w:val="20"/>
              </w:rPr>
              <w:t>.)</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AF6AB0" w:rsidP="009A6C1A">
            <w:pPr>
              <w:jc w:val="center"/>
              <w:rPr>
                <w:b/>
                <w:sz w:val="20"/>
                <w:szCs w:val="20"/>
              </w:rPr>
            </w:pPr>
            <w:r>
              <w:rPr>
                <w:b/>
                <w:sz w:val="20"/>
                <w:szCs w:val="20"/>
              </w:rPr>
              <w:t>(2022</w:t>
            </w:r>
            <w:r w:rsidR="00134E04" w:rsidRPr="00907E57">
              <w:rPr>
                <w:b/>
                <w:sz w:val="20"/>
                <w:szCs w:val="20"/>
              </w:rPr>
              <w:t>.)</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134E04" w:rsidP="009A6C1A">
            <w:pPr>
              <w:jc w:val="center"/>
              <w:rPr>
                <w:b/>
                <w:sz w:val="20"/>
                <w:szCs w:val="20"/>
              </w:rPr>
            </w:pPr>
            <w:r w:rsidRPr="00907E57">
              <w:rPr>
                <w:b/>
                <w:sz w:val="20"/>
                <w:szCs w:val="20"/>
              </w:rPr>
              <w:t>(202</w:t>
            </w:r>
            <w:r w:rsidR="00AF6AB0">
              <w:rPr>
                <w:b/>
                <w:sz w:val="20"/>
                <w:szCs w:val="20"/>
              </w:rPr>
              <w:t>3</w:t>
            </w:r>
            <w:r w:rsidRPr="00907E57">
              <w:rPr>
                <w:b/>
                <w:sz w:val="20"/>
                <w:szCs w:val="20"/>
              </w:rPr>
              <w:t>.)</w:t>
            </w:r>
          </w:p>
        </w:tc>
      </w:tr>
      <w:tr w:rsidR="00134E04" w:rsidRPr="00446203" w:rsidTr="009A6C1A">
        <w:trPr>
          <w:trHeight w:val="513"/>
        </w:trPr>
        <w:tc>
          <w:tcPr>
            <w:tcW w:w="0" w:type="auto"/>
          </w:tcPr>
          <w:p w:rsidR="00134E04" w:rsidRPr="00446203" w:rsidRDefault="00134E04" w:rsidP="009A6C1A">
            <w:pPr>
              <w:rPr>
                <w:sz w:val="20"/>
                <w:szCs w:val="20"/>
                <w:lang w:val="pl-PL"/>
              </w:rPr>
            </w:pPr>
            <w:r w:rsidRPr="00446203">
              <w:rPr>
                <w:sz w:val="20"/>
                <w:szCs w:val="20"/>
                <w:lang w:val="pl-PL"/>
              </w:rPr>
              <w:t xml:space="preserve">Povećanje broja učenika koji su uključeni u različite školske aktivnosti </w:t>
            </w:r>
          </w:p>
        </w:tc>
        <w:tc>
          <w:tcPr>
            <w:tcW w:w="0" w:type="auto"/>
          </w:tcPr>
          <w:p w:rsidR="00134E04" w:rsidRPr="00446203" w:rsidRDefault="00134E04" w:rsidP="009A6C1A">
            <w:pPr>
              <w:rPr>
                <w:sz w:val="20"/>
                <w:szCs w:val="20"/>
                <w:lang w:val="pl-PL"/>
              </w:rPr>
            </w:pPr>
            <w:r w:rsidRPr="00446203">
              <w:rPr>
                <w:sz w:val="20"/>
                <w:szCs w:val="20"/>
                <w:lang w:val="pl-PL"/>
              </w:rPr>
              <w:t>Učenike se potiče na izražavanje kreativnosti, talenata i sposobnosti kroz ovakve aktivnosti</w:t>
            </w:r>
          </w:p>
        </w:tc>
        <w:tc>
          <w:tcPr>
            <w:tcW w:w="0" w:type="auto"/>
            <w:vAlign w:val="center"/>
          </w:tcPr>
          <w:p w:rsidR="00134E04" w:rsidRPr="00446203" w:rsidRDefault="00134E04" w:rsidP="009A6C1A">
            <w:pPr>
              <w:jc w:val="center"/>
              <w:rPr>
                <w:sz w:val="20"/>
                <w:szCs w:val="20"/>
              </w:rPr>
            </w:pPr>
            <w:r w:rsidRPr="00446203">
              <w:rPr>
                <w:sz w:val="20"/>
                <w:szCs w:val="20"/>
              </w:rPr>
              <w:t>broj</w:t>
            </w:r>
          </w:p>
        </w:tc>
        <w:tc>
          <w:tcPr>
            <w:tcW w:w="0" w:type="auto"/>
            <w:vAlign w:val="center"/>
          </w:tcPr>
          <w:p w:rsidR="00134E04" w:rsidRPr="00F55204" w:rsidRDefault="00134E04" w:rsidP="009A6C1A">
            <w:pPr>
              <w:jc w:val="center"/>
              <w:rPr>
                <w:sz w:val="20"/>
                <w:szCs w:val="20"/>
              </w:rPr>
            </w:pPr>
            <w:r w:rsidRPr="00F55204">
              <w:rPr>
                <w:sz w:val="20"/>
                <w:szCs w:val="20"/>
              </w:rPr>
              <w:t>210</w:t>
            </w:r>
          </w:p>
        </w:tc>
        <w:tc>
          <w:tcPr>
            <w:tcW w:w="0" w:type="auto"/>
            <w:vAlign w:val="center"/>
          </w:tcPr>
          <w:p w:rsidR="00134E04" w:rsidRPr="00F55204" w:rsidRDefault="00134E04" w:rsidP="009A6C1A">
            <w:pPr>
              <w:jc w:val="center"/>
              <w:rPr>
                <w:sz w:val="20"/>
                <w:szCs w:val="20"/>
              </w:rPr>
            </w:pPr>
            <w:r w:rsidRPr="00F55204">
              <w:rPr>
                <w:sz w:val="20"/>
                <w:szCs w:val="20"/>
              </w:rPr>
              <w:t>škola</w:t>
            </w:r>
          </w:p>
        </w:tc>
        <w:tc>
          <w:tcPr>
            <w:tcW w:w="0" w:type="auto"/>
            <w:vAlign w:val="center"/>
          </w:tcPr>
          <w:p w:rsidR="00134E04" w:rsidRPr="00F55204" w:rsidRDefault="00492EF3" w:rsidP="009A6C1A">
            <w:pPr>
              <w:jc w:val="center"/>
              <w:rPr>
                <w:sz w:val="20"/>
                <w:szCs w:val="20"/>
              </w:rPr>
            </w:pPr>
            <w:r>
              <w:rPr>
                <w:sz w:val="20"/>
                <w:szCs w:val="20"/>
              </w:rPr>
              <w:t>170</w:t>
            </w:r>
          </w:p>
        </w:tc>
        <w:tc>
          <w:tcPr>
            <w:tcW w:w="0" w:type="auto"/>
            <w:vAlign w:val="center"/>
          </w:tcPr>
          <w:p w:rsidR="00134E04" w:rsidRPr="00F55204" w:rsidRDefault="00492EF3" w:rsidP="009A6C1A">
            <w:pPr>
              <w:jc w:val="center"/>
              <w:rPr>
                <w:sz w:val="20"/>
                <w:szCs w:val="20"/>
              </w:rPr>
            </w:pPr>
            <w:r>
              <w:rPr>
                <w:sz w:val="20"/>
                <w:szCs w:val="20"/>
              </w:rPr>
              <w:t>170</w:t>
            </w:r>
          </w:p>
        </w:tc>
        <w:tc>
          <w:tcPr>
            <w:tcW w:w="0" w:type="auto"/>
            <w:vAlign w:val="center"/>
          </w:tcPr>
          <w:p w:rsidR="00134E04" w:rsidRPr="00F55204" w:rsidRDefault="00492EF3" w:rsidP="009A6C1A">
            <w:pPr>
              <w:jc w:val="center"/>
              <w:rPr>
                <w:sz w:val="20"/>
                <w:szCs w:val="20"/>
              </w:rPr>
            </w:pPr>
            <w:r>
              <w:rPr>
                <w:sz w:val="20"/>
                <w:szCs w:val="20"/>
              </w:rPr>
              <w:t>170</w:t>
            </w:r>
          </w:p>
        </w:tc>
      </w:tr>
    </w:tbl>
    <w:p w:rsidR="00134E04" w:rsidRPr="00446203" w:rsidRDefault="00134E04" w:rsidP="00134E04">
      <w:pPr>
        <w:jc w:val="both"/>
      </w:pPr>
    </w:p>
    <w:p w:rsidR="00134E04" w:rsidRPr="00446203" w:rsidRDefault="00134E04" w:rsidP="00134E04">
      <w:pPr>
        <w:jc w:val="both"/>
      </w:pPr>
    </w:p>
    <w:p w:rsidR="00134E04" w:rsidRPr="00446203" w:rsidRDefault="00134E04" w:rsidP="00134E04">
      <w:pPr>
        <w:jc w:val="both"/>
      </w:pPr>
    </w:p>
    <w:tbl>
      <w:tblPr>
        <w:tblW w:w="0" w:type="auto"/>
        <w:tblLook w:val="01E0" w:firstRow="1" w:lastRow="1" w:firstColumn="1" w:lastColumn="1" w:noHBand="0" w:noVBand="0"/>
      </w:tblPr>
      <w:tblGrid>
        <w:gridCol w:w="1231"/>
        <w:gridCol w:w="1583"/>
        <w:gridCol w:w="928"/>
        <w:gridCol w:w="1127"/>
        <w:gridCol w:w="1047"/>
        <w:gridCol w:w="1124"/>
        <w:gridCol w:w="1124"/>
        <w:gridCol w:w="1124"/>
      </w:tblGrid>
      <w:tr w:rsidR="00134E04" w:rsidRPr="00624538" w:rsidTr="009A6C1A">
        <w:trPr>
          <w:trHeight w:val="470"/>
        </w:trPr>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Pokazatelj rezultata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Definicija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Jedinica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Polazna vrijednost</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Izvor podataka</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134E04" w:rsidP="009A6C1A">
            <w:pPr>
              <w:jc w:val="center"/>
              <w:rPr>
                <w:b/>
                <w:sz w:val="20"/>
                <w:szCs w:val="20"/>
              </w:rPr>
            </w:pPr>
            <w:r w:rsidRPr="00907E57">
              <w:rPr>
                <w:b/>
                <w:sz w:val="20"/>
                <w:szCs w:val="20"/>
              </w:rPr>
              <w:t>(</w:t>
            </w:r>
            <w:r w:rsidR="00AF6AB0">
              <w:rPr>
                <w:b/>
                <w:sz w:val="20"/>
                <w:szCs w:val="20"/>
              </w:rPr>
              <w:t>2021</w:t>
            </w:r>
            <w:r w:rsidRPr="00F90F22">
              <w:rPr>
                <w:b/>
                <w:sz w:val="20"/>
                <w:szCs w:val="20"/>
              </w:rPr>
              <w:t>.</w:t>
            </w:r>
            <w:r w:rsidRPr="00907E57">
              <w:rPr>
                <w:b/>
                <w:sz w:val="20"/>
                <w:szCs w:val="20"/>
              </w:rPr>
              <w:t>)</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134E04" w:rsidP="009A6C1A">
            <w:pPr>
              <w:jc w:val="center"/>
              <w:rPr>
                <w:b/>
                <w:sz w:val="20"/>
                <w:szCs w:val="20"/>
              </w:rPr>
            </w:pPr>
            <w:r w:rsidRPr="00907E57">
              <w:rPr>
                <w:b/>
                <w:sz w:val="20"/>
                <w:szCs w:val="20"/>
              </w:rPr>
              <w:t>(</w:t>
            </w:r>
            <w:r w:rsidR="00AF6AB0">
              <w:rPr>
                <w:b/>
                <w:sz w:val="20"/>
                <w:szCs w:val="20"/>
              </w:rPr>
              <w:t>2022</w:t>
            </w:r>
            <w:r w:rsidRPr="00F90F22">
              <w:rPr>
                <w:b/>
                <w:sz w:val="20"/>
                <w:szCs w:val="20"/>
              </w:rPr>
              <w:t>.</w:t>
            </w:r>
            <w:r w:rsidRPr="00907E57">
              <w:rPr>
                <w:b/>
                <w:sz w:val="20"/>
                <w:szCs w:val="20"/>
              </w:rPr>
              <w:t>)</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134E04" w:rsidP="009A6C1A">
            <w:pPr>
              <w:jc w:val="center"/>
              <w:rPr>
                <w:b/>
                <w:sz w:val="20"/>
                <w:szCs w:val="20"/>
              </w:rPr>
            </w:pPr>
            <w:r w:rsidRPr="00907E57">
              <w:rPr>
                <w:b/>
                <w:sz w:val="20"/>
                <w:szCs w:val="20"/>
              </w:rPr>
              <w:t>(202</w:t>
            </w:r>
            <w:r w:rsidR="00AF6AB0">
              <w:rPr>
                <w:b/>
                <w:sz w:val="20"/>
                <w:szCs w:val="20"/>
              </w:rPr>
              <w:t>3</w:t>
            </w:r>
            <w:r>
              <w:rPr>
                <w:b/>
                <w:sz w:val="20"/>
                <w:szCs w:val="20"/>
              </w:rPr>
              <w:t>.</w:t>
            </w:r>
            <w:r w:rsidRPr="00907E57">
              <w:rPr>
                <w:b/>
                <w:sz w:val="20"/>
                <w:szCs w:val="20"/>
              </w:rPr>
              <w:t>)</w:t>
            </w:r>
          </w:p>
        </w:tc>
      </w:tr>
      <w:tr w:rsidR="00AF6AB0" w:rsidRPr="00AF6AB0" w:rsidTr="009A6C1A">
        <w:trPr>
          <w:trHeight w:val="513"/>
        </w:trPr>
        <w:tc>
          <w:tcPr>
            <w:tcW w:w="0" w:type="auto"/>
          </w:tcPr>
          <w:p w:rsidR="00134E04" w:rsidRPr="00446203" w:rsidRDefault="00134E04" w:rsidP="009A6C1A">
            <w:pPr>
              <w:rPr>
                <w:sz w:val="20"/>
                <w:szCs w:val="20"/>
                <w:lang w:val="pl-PL"/>
              </w:rPr>
            </w:pPr>
            <w:r w:rsidRPr="00446203">
              <w:rPr>
                <w:sz w:val="20"/>
                <w:szCs w:val="20"/>
                <w:lang w:val="pl-PL"/>
              </w:rPr>
              <w:t>Povećanje broja školskih projekata</w:t>
            </w:r>
          </w:p>
        </w:tc>
        <w:tc>
          <w:tcPr>
            <w:tcW w:w="0" w:type="auto"/>
          </w:tcPr>
          <w:p w:rsidR="00134E04" w:rsidRPr="00446203" w:rsidRDefault="00134E04" w:rsidP="009A6C1A">
            <w:pPr>
              <w:rPr>
                <w:sz w:val="20"/>
                <w:szCs w:val="20"/>
                <w:lang w:val="pl-PL"/>
              </w:rPr>
            </w:pPr>
            <w:r w:rsidRPr="00446203">
              <w:rPr>
                <w:sz w:val="20"/>
                <w:szCs w:val="20"/>
                <w:lang w:val="pl-PL"/>
              </w:rPr>
              <w:t>Učenike se potiče na izražavanje kreativnosti, talenata i sposobnosti kroz ovakve projekte</w:t>
            </w:r>
          </w:p>
        </w:tc>
        <w:tc>
          <w:tcPr>
            <w:tcW w:w="0" w:type="auto"/>
            <w:vAlign w:val="center"/>
          </w:tcPr>
          <w:p w:rsidR="00134E04" w:rsidRPr="00446203" w:rsidRDefault="00134E04" w:rsidP="009A6C1A">
            <w:pPr>
              <w:jc w:val="center"/>
              <w:rPr>
                <w:sz w:val="20"/>
                <w:szCs w:val="20"/>
              </w:rPr>
            </w:pPr>
            <w:r w:rsidRPr="00446203">
              <w:rPr>
                <w:sz w:val="20"/>
                <w:szCs w:val="20"/>
              </w:rPr>
              <w:t>broj</w:t>
            </w:r>
          </w:p>
        </w:tc>
        <w:tc>
          <w:tcPr>
            <w:tcW w:w="0" w:type="auto"/>
            <w:vAlign w:val="center"/>
          </w:tcPr>
          <w:p w:rsidR="00134E04" w:rsidRPr="008A2023" w:rsidRDefault="00134E04" w:rsidP="009A6C1A">
            <w:pPr>
              <w:jc w:val="center"/>
              <w:rPr>
                <w:sz w:val="20"/>
                <w:szCs w:val="20"/>
              </w:rPr>
            </w:pPr>
            <w:r w:rsidRPr="008A2023">
              <w:rPr>
                <w:sz w:val="20"/>
                <w:szCs w:val="20"/>
              </w:rPr>
              <w:t>25</w:t>
            </w:r>
          </w:p>
        </w:tc>
        <w:tc>
          <w:tcPr>
            <w:tcW w:w="0" w:type="auto"/>
            <w:vAlign w:val="center"/>
          </w:tcPr>
          <w:p w:rsidR="00134E04" w:rsidRPr="008A2023" w:rsidRDefault="00134E04" w:rsidP="009A6C1A">
            <w:pPr>
              <w:jc w:val="center"/>
              <w:rPr>
                <w:sz w:val="20"/>
                <w:szCs w:val="20"/>
              </w:rPr>
            </w:pPr>
            <w:r w:rsidRPr="008A2023">
              <w:rPr>
                <w:sz w:val="20"/>
                <w:szCs w:val="20"/>
              </w:rPr>
              <w:t>Škola (</w:t>
            </w:r>
            <w:proofErr w:type="spellStart"/>
            <w:r w:rsidRPr="008A2023">
              <w:rPr>
                <w:sz w:val="20"/>
                <w:szCs w:val="20"/>
              </w:rPr>
              <w:t>kurikul</w:t>
            </w:r>
            <w:proofErr w:type="spellEnd"/>
            <w:r w:rsidRPr="008A2023">
              <w:rPr>
                <w:sz w:val="20"/>
                <w:szCs w:val="20"/>
              </w:rPr>
              <w:t>)</w:t>
            </w:r>
          </w:p>
        </w:tc>
        <w:tc>
          <w:tcPr>
            <w:tcW w:w="0" w:type="auto"/>
            <w:vAlign w:val="center"/>
          </w:tcPr>
          <w:p w:rsidR="00134E04" w:rsidRPr="008A2023" w:rsidRDefault="008A2023" w:rsidP="009A6C1A">
            <w:pPr>
              <w:jc w:val="center"/>
              <w:rPr>
                <w:sz w:val="20"/>
                <w:szCs w:val="20"/>
              </w:rPr>
            </w:pPr>
            <w:r w:rsidRPr="008A2023">
              <w:rPr>
                <w:sz w:val="20"/>
                <w:szCs w:val="20"/>
              </w:rPr>
              <w:t>25</w:t>
            </w:r>
          </w:p>
        </w:tc>
        <w:tc>
          <w:tcPr>
            <w:tcW w:w="0" w:type="auto"/>
            <w:vAlign w:val="center"/>
          </w:tcPr>
          <w:p w:rsidR="00134E04" w:rsidRPr="008A2023" w:rsidRDefault="00134E04" w:rsidP="008A2023">
            <w:pPr>
              <w:jc w:val="center"/>
              <w:rPr>
                <w:sz w:val="20"/>
                <w:szCs w:val="20"/>
              </w:rPr>
            </w:pPr>
            <w:r w:rsidRPr="008A2023">
              <w:rPr>
                <w:sz w:val="20"/>
                <w:szCs w:val="20"/>
              </w:rPr>
              <w:t>2</w:t>
            </w:r>
            <w:r w:rsidR="008A2023" w:rsidRPr="008A2023">
              <w:rPr>
                <w:sz w:val="20"/>
                <w:szCs w:val="20"/>
              </w:rPr>
              <w:t>6</w:t>
            </w:r>
          </w:p>
        </w:tc>
        <w:tc>
          <w:tcPr>
            <w:tcW w:w="0" w:type="auto"/>
            <w:vAlign w:val="center"/>
          </w:tcPr>
          <w:p w:rsidR="00134E04" w:rsidRPr="008A2023" w:rsidRDefault="00134E04" w:rsidP="008A2023">
            <w:pPr>
              <w:jc w:val="center"/>
              <w:rPr>
                <w:sz w:val="20"/>
                <w:szCs w:val="20"/>
              </w:rPr>
            </w:pPr>
            <w:r w:rsidRPr="008A2023">
              <w:rPr>
                <w:sz w:val="20"/>
                <w:szCs w:val="20"/>
              </w:rPr>
              <w:t>2</w:t>
            </w:r>
            <w:r w:rsidR="008A2023" w:rsidRPr="008A2023">
              <w:rPr>
                <w:sz w:val="20"/>
                <w:szCs w:val="20"/>
              </w:rPr>
              <w:t>6</w:t>
            </w:r>
          </w:p>
        </w:tc>
      </w:tr>
    </w:tbl>
    <w:p w:rsidR="00134E04" w:rsidRPr="00446203" w:rsidRDefault="00134E04" w:rsidP="00134E04">
      <w:pPr>
        <w:jc w:val="both"/>
      </w:pPr>
    </w:p>
    <w:p w:rsidR="00134E04" w:rsidRPr="00446203" w:rsidRDefault="00134E04" w:rsidP="00134E04">
      <w:pPr>
        <w:jc w:val="both"/>
      </w:pPr>
    </w:p>
    <w:p w:rsidR="00134E04" w:rsidRPr="00446203" w:rsidRDefault="00134E04" w:rsidP="00134E04">
      <w:pPr>
        <w:jc w:val="both"/>
      </w:pPr>
    </w:p>
    <w:p w:rsidR="00134E04" w:rsidRPr="00446203" w:rsidRDefault="00134E04" w:rsidP="00134E04">
      <w:pPr>
        <w:jc w:val="both"/>
      </w:pPr>
    </w:p>
    <w:p w:rsidR="00134E04" w:rsidRPr="00446203" w:rsidRDefault="00134E04" w:rsidP="00134E04">
      <w:pPr>
        <w:jc w:val="both"/>
      </w:pPr>
    </w:p>
    <w:tbl>
      <w:tblPr>
        <w:tblW w:w="0" w:type="auto"/>
        <w:tblLook w:val="01E0" w:firstRow="1" w:lastRow="1" w:firstColumn="1" w:lastColumn="1" w:noHBand="0" w:noVBand="0"/>
      </w:tblPr>
      <w:tblGrid>
        <w:gridCol w:w="1303"/>
        <w:gridCol w:w="1545"/>
        <w:gridCol w:w="928"/>
        <w:gridCol w:w="1119"/>
        <w:gridCol w:w="1042"/>
        <w:gridCol w:w="1117"/>
        <w:gridCol w:w="1117"/>
        <w:gridCol w:w="1117"/>
      </w:tblGrid>
      <w:tr w:rsidR="00134E04" w:rsidRPr="00446203" w:rsidTr="009A6C1A">
        <w:trPr>
          <w:trHeight w:val="470"/>
        </w:trPr>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Pokazatelj rezultata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Definicija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Jedinica</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Polazna vrijednost</w:t>
            </w:r>
          </w:p>
        </w:tc>
        <w:tc>
          <w:tcPr>
            <w:tcW w:w="0" w:type="auto"/>
            <w:shd w:val="clear" w:color="auto" w:fill="99CCFF"/>
            <w:vAlign w:val="center"/>
          </w:tcPr>
          <w:p w:rsidR="00134E04" w:rsidRPr="00446203" w:rsidRDefault="00134E04" w:rsidP="009A6C1A">
            <w:pPr>
              <w:jc w:val="center"/>
              <w:rPr>
                <w:b/>
                <w:sz w:val="20"/>
                <w:szCs w:val="20"/>
              </w:rPr>
            </w:pPr>
            <w:r w:rsidRPr="00446203">
              <w:rPr>
                <w:b/>
                <w:sz w:val="20"/>
                <w:szCs w:val="20"/>
              </w:rPr>
              <w:t>Izvor podataka</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134E04" w:rsidP="009A6C1A">
            <w:pPr>
              <w:jc w:val="center"/>
              <w:rPr>
                <w:b/>
                <w:sz w:val="20"/>
                <w:szCs w:val="20"/>
              </w:rPr>
            </w:pPr>
            <w:r w:rsidRPr="00907E57">
              <w:rPr>
                <w:b/>
                <w:sz w:val="20"/>
                <w:szCs w:val="20"/>
              </w:rPr>
              <w:t>(</w:t>
            </w:r>
            <w:r w:rsidR="00AF6AB0">
              <w:rPr>
                <w:b/>
                <w:sz w:val="20"/>
                <w:szCs w:val="20"/>
              </w:rPr>
              <w:t>2021</w:t>
            </w:r>
            <w:r w:rsidRPr="00F90F22">
              <w:rPr>
                <w:b/>
                <w:sz w:val="20"/>
                <w:szCs w:val="20"/>
              </w:rPr>
              <w:t>.</w:t>
            </w:r>
            <w:r w:rsidRPr="00907E57">
              <w:rPr>
                <w:b/>
                <w:sz w:val="20"/>
                <w:szCs w:val="20"/>
              </w:rPr>
              <w:t>)</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134E04" w:rsidP="009A6C1A">
            <w:pPr>
              <w:jc w:val="center"/>
              <w:rPr>
                <w:b/>
                <w:sz w:val="20"/>
                <w:szCs w:val="20"/>
              </w:rPr>
            </w:pPr>
            <w:r w:rsidRPr="00907E57">
              <w:rPr>
                <w:b/>
                <w:sz w:val="20"/>
                <w:szCs w:val="20"/>
              </w:rPr>
              <w:t>(</w:t>
            </w:r>
            <w:r w:rsidR="00AF6AB0">
              <w:rPr>
                <w:b/>
                <w:sz w:val="20"/>
                <w:szCs w:val="20"/>
              </w:rPr>
              <w:t>2022</w:t>
            </w:r>
            <w:r w:rsidRPr="00F90F22">
              <w:rPr>
                <w:b/>
                <w:sz w:val="20"/>
                <w:szCs w:val="20"/>
              </w:rPr>
              <w:t>.</w:t>
            </w:r>
            <w:r w:rsidRPr="00907E57">
              <w:rPr>
                <w:b/>
                <w:sz w:val="20"/>
                <w:szCs w:val="20"/>
              </w:rPr>
              <w:t>)</w:t>
            </w:r>
          </w:p>
        </w:tc>
        <w:tc>
          <w:tcPr>
            <w:tcW w:w="0" w:type="auto"/>
            <w:shd w:val="clear" w:color="auto" w:fill="99CCFF"/>
            <w:vAlign w:val="center"/>
          </w:tcPr>
          <w:p w:rsidR="00134E04" w:rsidRPr="00907E57" w:rsidRDefault="00134E04" w:rsidP="009A6C1A">
            <w:pPr>
              <w:jc w:val="center"/>
              <w:rPr>
                <w:b/>
                <w:sz w:val="20"/>
                <w:szCs w:val="20"/>
              </w:rPr>
            </w:pPr>
            <w:r w:rsidRPr="00907E57">
              <w:rPr>
                <w:b/>
                <w:sz w:val="20"/>
                <w:szCs w:val="20"/>
              </w:rPr>
              <w:t>Ciljana vrijednost</w:t>
            </w:r>
          </w:p>
          <w:p w:rsidR="00134E04" w:rsidRPr="00907E57" w:rsidRDefault="00134E04" w:rsidP="009A6C1A">
            <w:pPr>
              <w:jc w:val="center"/>
              <w:rPr>
                <w:b/>
                <w:sz w:val="20"/>
                <w:szCs w:val="20"/>
              </w:rPr>
            </w:pPr>
            <w:r w:rsidRPr="00907E57">
              <w:rPr>
                <w:b/>
                <w:sz w:val="20"/>
                <w:szCs w:val="20"/>
              </w:rPr>
              <w:t>(</w:t>
            </w:r>
            <w:r w:rsidR="00AF6AB0">
              <w:rPr>
                <w:b/>
                <w:sz w:val="20"/>
                <w:szCs w:val="20"/>
              </w:rPr>
              <w:t>2023</w:t>
            </w:r>
            <w:r w:rsidRPr="00907E57">
              <w:rPr>
                <w:b/>
                <w:sz w:val="20"/>
                <w:szCs w:val="20"/>
              </w:rPr>
              <w:t>.)</w:t>
            </w:r>
          </w:p>
        </w:tc>
      </w:tr>
      <w:tr w:rsidR="00AF6AB0" w:rsidRPr="00AF6AB0" w:rsidTr="009A6C1A">
        <w:trPr>
          <w:trHeight w:val="513"/>
        </w:trPr>
        <w:tc>
          <w:tcPr>
            <w:tcW w:w="0" w:type="auto"/>
          </w:tcPr>
          <w:p w:rsidR="00134E04" w:rsidRPr="00446203" w:rsidRDefault="00134E04" w:rsidP="009A6C1A">
            <w:pPr>
              <w:rPr>
                <w:sz w:val="20"/>
                <w:szCs w:val="20"/>
                <w:lang w:val="pl-PL"/>
              </w:rPr>
            </w:pPr>
            <w:r w:rsidRPr="00446203">
              <w:rPr>
                <w:sz w:val="16"/>
                <w:szCs w:val="16"/>
              </w:rPr>
              <w:t xml:space="preserve">100 % Zainteresiranost učenika 5. </w:t>
            </w:r>
          </w:p>
          <w:p w:rsidR="00134E04" w:rsidRPr="00446203" w:rsidRDefault="00134E04" w:rsidP="009A6C1A">
            <w:pPr>
              <w:rPr>
                <w:sz w:val="20"/>
                <w:szCs w:val="20"/>
                <w:lang w:val="pl-PL"/>
              </w:rPr>
            </w:pPr>
          </w:p>
        </w:tc>
        <w:tc>
          <w:tcPr>
            <w:tcW w:w="0" w:type="auto"/>
          </w:tcPr>
          <w:p w:rsidR="00134E04" w:rsidRPr="00446203" w:rsidRDefault="00134E04" w:rsidP="009A6C1A">
            <w:pPr>
              <w:rPr>
                <w:sz w:val="16"/>
                <w:szCs w:val="16"/>
              </w:rPr>
            </w:pPr>
            <w:r w:rsidRPr="00446203">
              <w:rPr>
                <w:sz w:val="16"/>
                <w:szCs w:val="16"/>
              </w:rPr>
              <w:t>Od školske  god. 2017./'18.  Uveden program osposobljavanja za upravljanje biciklom za učenike petih razreda</w:t>
            </w:r>
          </w:p>
          <w:p w:rsidR="00134E04" w:rsidRPr="00446203" w:rsidRDefault="00134E04" w:rsidP="009A6C1A">
            <w:pPr>
              <w:rPr>
                <w:sz w:val="16"/>
                <w:szCs w:val="16"/>
              </w:rPr>
            </w:pPr>
            <w:r w:rsidRPr="00446203">
              <w:rPr>
                <w:sz w:val="16"/>
                <w:szCs w:val="16"/>
              </w:rPr>
              <w:t>Vježbanje dodatnih praktičnih vještina vožnje biciklom u kontroliranim uvjetima na vježbalištu.</w:t>
            </w:r>
          </w:p>
          <w:p w:rsidR="00134E04" w:rsidRPr="00446203" w:rsidRDefault="00134E04" w:rsidP="009A6C1A">
            <w:pPr>
              <w:rPr>
                <w:sz w:val="20"/>
                <w:szCs w:val="20"/>
                <w:lang w:val="pl-PL"/>
              </w:rPr>
            </w:pPr>
          </w:p>
        </w:tc>
        <w:tc>
          <w:tcPr>
            <w:tcW w:w="0" w:type="auto"/>
            <w:vAlign w:val="center"/>
          </w:tcPr>
          <w:p w:rsidR="00134E04" w:rsidRPr="00446203" w:rsidRDefault="00134E04" w:rsidP="009A6C1A">
            <w:pPr>
              <w:jc w:val="center"/>
              <w:rPr>
                <w:sz w:val="20"/>
                <w:szCs w:val="20"/>
              </w:rPr>
            </w:pPr>
            <w:r w:rsidRPr="00446203">
              <w:rPr>
                <w:sz w:val="20"/>
                <w:szCs w:val="20"/>
              </w:rPr>
              <w:t>broj</w:t>
            </w:r>
          </w:p>
        </w:tc>
        <w:tc>
          <w:tcPr>
            <w:tcW w:w="0" w:type="auto"/>
            <w:vAlign w:val="center"/>
          </w:tcPr>
          <w:p w:rsidR="00134E04" w:rsidRPr="008A2023" w:rsidRDefault="00134E04" w:rsidP="009A6C1A">
            <w:pPr>
              <w:jc w:val="center"/>
              <w:rPr>
                <w:sz w:val="20"/>
                <w:szCs w:val="20"/>
              </w:rPr>
            </w:pPr>
            <w:r w:rsidRPr="008A2023">
              <w:rPr>
                <w:sz w:val="20"/>
                <w:szCs w:val="20"/>
              </w:rPr>
              <w:t>52</w:t>
            </w:r>
          </w:p>
        </w:tc>
        <w:tc>
          <w:tcPr>
            <w:tcW w:w="0" w:type="auto"/>
            <w:vAlign w:val="center"/>
          </w:tcPr>
          <w:p w:rsidR="00134E04" w:rsidRPr="008A2023" w:rsidRDefault="00134E04" w:rsidP="009A6C1A">
            <w:pPr>
              <w:jc w:val="center"/>
              <w:rPr>
                <w:sz w:val="20"/>
                <w:szCs w:val="20"/>
              </w:rPr>
            </w:pPr>
            <w:r w:rsidRPr="008A2023">
              <w:rPr>
                <w:sz w:val="20"/>
                <w:szCs w:val="20"/>
              </w:rPr>
              <w:t>Škola (</w:t>
            </w:r>
            <w:proofErr w:type="spellStart"/>
            <w:r w:rsidRPr="008A2023">
              <w:rPr>
                <w:sz w:val="20"/>
                <w:szCs w:val="20"/>
              </w:rPr>
              <w:t>kurikul</w:t>
            </w:r>
            <w:proofErr w:type="spellEnd"/>
            <w:r w:rsidRPr="008A2023">
              <w:rPr>
                <w:sz w:val="20"/>
                <w:szCs w:val="20"/>
              </w:rPr>
              <w:t>)</w:t>
            </w:r>
          </w:p>
        </w:tc>
        <w:tc>
          <w:tcPr>
            <w:tcW w:w="0" w:type="auto"/>
            <w:vAlign w:val="center"/>
          </w:tcPr>
          <w:p w:rsidR="00134E04" w:rsidRPr="008A2023" w:rsidRDefault="008A2023" w:rsidP="009A6C1A">
            <w:pPr>
              <w:jc w:val="center"/>
              <w:rPr>
                <w:sz w:val="20"/>
                <w:szCs w:val="20"/>
              </w:rPr>
            </w:pPr>
            <w:r w:rsidRPr="008A2023">
              <w:rPr>
                <w:sz w:val="20"/>
                <w:szCs w:val="20"/>
              </w:rPr>
              <w:t>38</w:t>
            </w:r>
          </w:p>
        </w:tc>
        <w:tc>
          <w:tcPr>
            <w:tcW w:w="0" w:type="auto"/>
            <w:vAlign w:val="center"/>
          </w:tcPr>
          <w:p w:rsidR="00134E04" w:rsidRPr="008A2023" w:rsidRDefault="008A2023" w:rsidP="009A6C1A">
            <w:pPr>
              <w:jc w:val="center"/>
              <w:rPr>
                <w:sz w:val="20"/>
                <w:szCs w:val="20"/>
              </w:rPr>
            </w:pPr>
            <w:r w:rsidRPr="008A2023">
              <w:rPr>
                <w:sz w:val="20"/>
                <w:szCs w:val="20"/>
              </w:rPr>
              <w:t>35</w:t>
            </w:r>
          </w:p>
        </w:tc>
        <w:tc>
          <w:tcPr>
            <w:tcW w:w="0" w:type="auto"/>
            <w:vAlign w:val="center"/>
          </w:tcPr>
          <w:p w:rsidR="00134E04" w:rsidRPr="008A2023" w:rsidRDefault="008A2023" w:rsidP="009A6C1A">
            <w:pPr>
              <w:jc w:val="center"/>
              <w:rPr>
                <w:sz w:val="20"/>
                <w:szCs w:val="20"/>
              </w:rPr>
            </w:pPr>
            <w:r w:rsidRPr="008A2023">
              <w:rPr>
                <w:sz w:val="20"/>
                <w:szCs w:val="20"/>
              </w:rPr>
              <w:t>26</w:t>
            </w:r>
          </w:p>
        </w:tc>
      </w:tr>
    </w:tbl>
    <w:p w:rsidR="00134E04" w:rsidRPr="00446203" w:rsidRDefault="00134E04" w:rsidP="00134E04">
      <w:pPr>
        <w:jc w:val="both"/>
      </w:pPr>
      <w:r w:rsidRPr="00446203">
        <w:t>.</w:t>
      </w:r>
    </w:p>
    <w:p w:rsidR="00134E04" w:rsidRPr="00446203" w:rsidRDefault="00134E04" w:rsidP="00134E04">
      <w:pPr>
        <w:jc w:val="both"/>
      </w:pPr>
    </w:p>
    <w:p w:rsidR="00134E04" w:rsidRPr="00446203" w:rsidRDefault="00134E04" w:rsidP="00134E04">
      <w:pPr>
        <w:jc w:val="both"/>
      </w:pPr>
    </w:p>
    <w:p w:rsidR="00134E04" w:rsidRPr="00FE0D74" w:rsidRDefault="00134E04" w:rsidP="00134E04">
      <w:pPr>
        <w:jc w:val="both"/>
        <w:rPr>
          <w:b/>
        </w:rPr>
      </w:pPr>
      <w:r w:rsidRPr="00FE0D74">
        <w:rPr>
          <w:b/>
        </w:rPr>
        <w:t xml:space="preserve">5. Ishodište i pokazatelj na kojima se zasnivaju izračuni i ocjena potrebnih sredstava za provođenje programa  </w:t>
      </w:r>
    </w:p>
    <w:p w:rsidR="00134E04" w:rsidRPr="008B0FB7" w:rsidRDefault="00134E04" w:rsidP="00A660E6">
      <w:pPr>
        <w:spacing w:before="120" w:after="120"/>
        <w:jc w:val="both"/>
      </w:pPr>
      <w:r w:rsidRPr="008B0FB7">
        <w:t xml:space="preserve">    Izvori sredstava za  financiranje rada škole su:</w:t>
      </w:r>
    </w:p>
    <w:p w:rsidR="00134E04" w:rsidRPr="008B0FB7" w:rsidRDefault="00134E04" w:rsidP="00A660E6">
      <w:pPr>
        <w:numPr>
          <w:ilvl w:val="0"/>
          <w:numId w:val="1"/>
        </w:numPr>
        <w:ind w:left="538" w:hanging="357"/>
        <w:jc w:val="both"/>
        <w:rPr>
          <w:b/>
        </w:rPr>
      </w:pPr>
      <w:r w:rsidRPr="008B0FB7">
        <w:t>Tekuće pomoći proračunskim korisnicima iz proračuna koji im n</w:t>
      </w:r>
      <w:r w:rsidR="00AF6AB0">
        <w:t>i</w:t>
      </w:r>
      <w:r w:rsidRPr="008B0FB7">
        <w:t>je nadležan (državni i županijski proračun), skupina 636,</w:t>
      </w:r>
    </w:p>
    <w:p w:rsidR="00134E04" w:rsidRPr="008B0FB7" w:rsidRDefault="00134E04" w:rsidP="00A660E6">
      <w:pPr>
        <w:numPr>
          <w:ilvl w:val="0"/>
          <w:numId w:val="1"/>
        </w:numPr>
        <w:ind w:left="538" w:hanging="357"/>
        <w:jc w:val="both"/>
        <w:rPr>
          <w:b/>
        </w:rPr>
      </w:pPr>
      <w:r w:rsidRPr="008B0FB7">
        <w:t xml:space="preserve">Prihodi od financijske imovine, skupina 641, </w:t>
      </w:r>
    </w:p>
    <w:p w:rsidR="00134E04" w:rsidRPr="008B0FB7" w:rsidRDefault="00134E04" w:rsidP="00A660E6">
      <w:pPr>
        <w:numPr>
          <w:ilvl w:val="0"/>
          <w:numId w:val="1"/>
        </w:numPr>
        <w:ind w:left="538" w:hanging="357"/>
        <w:jc w:val="both"/>
        <w:rPr>
          <w:b/>
        </w:rPr>
      </w:pPr>
      <w:r w:rsidRPr="008B0FB7">
        <w:t>Prihodi po posebnim propisima, skupina 652, sastoji se od prihoda za posebne namjene i prihoda od sufinanciranja školske kuhinje, produženog boravka, osiguranja učenika i ostale  uplate  za dodatne aktivnosti škole prema Planu i programu,</w:t>
      </w:r>
    </w:p>
    <w:p w:rsidR="00134E04" w:rsidRPr="0026202D" w:rsidRDefault="00134E04" w:rsidP="00A660E6">
      <w:pPr>
        <w:numPr>
          <w:ilvl w:val="0"/>
          <w:numId w:val="1"/>
        </w:numPr>
        <w:ind w:left="538" w:hanging="357"/>
        <w:jc w:val="both"/>
        <w:rPr>
          <w:b/>
        </w:rPr>
      </w:pPr>
      <w:r w:rsidRPr="008B0FB7">
        <w:t>Prihodi koje proračunski korisnici ostvare obavljanjem poslova (vlastiti prihodi),  skupina 661,</w:t>
      </w:r>
    </w:p>
    <w:p w:rsidR="0026202D" w:rsidRPr="008B0FB7" w:rsidRDefault="0026202D" w:rsidP="00A660E6">
      <w:pPr>
        <w:numPr>
          <w:ilvl w:val="0"/>
          <w:numId w:val="1"/>
        </w:numPr>
        <w:ind w:left="538" w:hanging="357"/>
        <w:jc w:val="both"/>
        <w:rPr>
          <w:b/>
        </w:rPr>
      </w:pPr>
      <w:r>
        <w:t>Donacije od pravnih i fizičkih osoba izvan općeg proračuna, skupina 663</w:t>
      </w:r>
    </w:p>
    <w:p w:rsidR="00134E04" w:rsidRPr="008B0FB7" w:rsidRDefault="00134E04" w:rsidP="00A660E6">
      <w:pPr>
        <w:numPr>
          <w:ilvl w:val="0"/>
          <w:numId w:val="1"/>
        </w:numPr>
        <w:ind w:left="538" w:hanging="357"/>
        <w:jc w:val="both"/>
        <w:rPr>
          <w:b/>
        </w:rPr>
      </w:pPr>
      <w:r w:rsidRPr="008B0FB7">
        <w:t>Prihodi iz nadležnog proračuna za financiranje redovne djelatnosti proračunskih korisnika, skupina 671, a sastoje se od:</w:t>
      </w:r>
    </w:p>
    <w:p w:rsidR="00134E04" w:rsidRPr="008B0FB7" w:rsidRDefault="00134E04" w:rsidP="00A660E6">
      <w:pPr>
        <w:ind w:left="708"/>
        <w:jc w:val="both"/>
      </w:pPr>
      <w:r w:rsidRPr="008B0FB7">
        <w:t>- prihoda za financiranje materijalnih rashoda (DEC)</w:t>
      </w:r>
    </w:p>
    <w:p w:rsidR="00134E04" w:rsidRPr="008B0FB7" w:rsidRDefault="00134E04" w:rsidP="00A660E6">
      <w:pPr>
        <w:ind w:left="708"/>
        <w:jc w:val="both"/>
      </w:pPr>
      <w:r w:rsidRPr="008B0FB7">
        <w:t>- prihoda za financiranje rashoda za nabavu nefinancijske imovine</w:t>
      </w:r>
    </w:p>
    <w:p w:rsidR="00134E04" w:rsidRPr="008B0FB7" w:rsidRDefault="00134E04" w:rsidP="00A660E6">
      <w:pPr>
        <w:ind w:left="708"/>
        <w:jc w:val="both"/>
      </w:pPr>
      <w:r w:rsidRPr="008B0FB7">
        <w:t>- prihoda za financiranje rashoda poslovanja za produženi boravak</w:t>
      </w:r>
    </w:p>
    <w:p w:rsidR="00134E04" w:rsidRPr="008B0FB7" w:rsidRDefault="00134E04" w:rsidP="00A660E6">
      <w:pPr>
        <w:ind w:left="708"/>
        <w:jc w:val="both"/>
      </w:pPr>
      <w:r w:rsidRPr="008B0FB7">
        <w:t>- prihoda za financiranje rashoda poslovanja za pomoćnika u nastavi</w:t>
      </w:r>
    </w:p>
    <w:p w:rsidR="00134E04" w:rsidRPr="008B0FB7" w:rsidRDefault="00134E04" w:rsidP="00A660E6">
      <w:pPr>
        <w:ind w:left="708"/>
        <w:jc w:val="both"/>
      </w:pPr>
      <w:r w:rsidRPr="008B0FB7">
        <w:t>- prihoda za financiranje rashoda poslovanja za izlete</w:t>
      </w:r>
    </w:p>
    <w:p w:rsidR="00134E04" w:rsidRPr="008B0FB7" w:rsidRDefault="00134E04" w:rsidP="00957E0D">
      <w:pPr>
        <w:ind w:left="708"/>
        <w:jc w:val="both"/>
      </w:pPr>
      <w:r w:rsidRPr="008B0FB7">
        <w:t>- prihoda za financiranje rashoda poslovanja za E-Škole</w:t>
      </w:r>
    </w:p>
    <w:p w:rsidR="00134E04" w:rsidRPr="008B0FB7" w:rsidRDefault="00134E04" w:rsidP="00A660E6">
      <w:pPr>
        <w:ind w:left="708"/>
        <w:jc w:val="both"/>
      </w:pPr>
      <w:r w:rsidRPr="008B0FB7">
        <w:t>- prihoda za financiranje održavanja objekata osnovnih škola</w:t>
      </w:r>
    </w:p>
    <w:p w:rsidR="00134E04" w:rsidRPr="008B0FB7" w:rsidRDefault="00134E04" w:rsidP="00A660E6">
      <w:pPr>
        <w:ind w:left="708"/>
        <w:jc w:val="both"/>
      </w:pPr>
      <w:r w:rsidRPr="008B0FB7">
        <w:t>- dodatne i dopunske aktivnosti</w:t>
      </w:r>
    </w:p>
    <w:p w:rsidR="00134E04" w:rsidRDefault="0026202D" w:rsidP="0026202D">
      <w:pPr>
        <w:jc w:val="both"/>
      </w:pPr>
      <w:r>
        <w:tab/>
        <w:t>- prihodi za financiranje rashoda poslovanja projekta Školske sheme</w:t>
      </w:r>
    </w:p>
    <w:p w:rsidR="0026202D" w:rsidRDefault="0026202D" w:rsidP="0026202D">
      <w:pPr>
        <w:jc w:val="both"/>
      </w:pPr>
      <w:r>
        <w:tab/>
        <w:t>- prihodi za financiranje rashoda poslovanja projekta SPAS</w:t>
      </w:r>
    </w:p>
    <w:p w:rsidR="0026202D" w:rsidRPr="00AF0975" w:rsidRDefault="0026202D" w:rsidP="0026202D">
      <w:pPr>
        <w:jc w:val="both"/>
        <w:rPr>
          <w:color w:val="FF0000"/>
        </w:rPr>
      </w:pPr>
      <w:r>
        <w:tab/>
        <w:t>- prihodi za financiranje rashoda poslovanja- drugi obrazovni materijali za učenike</w:t>
      </w:r>
    </w:p>
    <w:p w:rsidR="00134E04" w:rsidRPr="00AF0975" w:rsidRDefault="00134E04" w:rsidP="00134E04">
      <w:pPr>
        <w:jc w:val="both"/>
        <w:rPr>
          <w:b/>
          <w:color w:val="FF0000"/>
        </w:rPr>
      </w:pPr>
      <w:r w:rsidRPr="00AF0975">
        <w:rPr>
          <w:b/>
          <w:color w:val="FF0000"/>
        </w:rPr>
        <w:t xml:space="preserve"> </w:t>
      </w:r>
    </w:p>
    <w:p w:rsidR="00134E04" w:rsidRPr="00FE0D74" w:rsidRDefault="00134E04" w:rsidP="00134E04">
      <w:pPr>
        <w:jc w:val="both"/>
        <w:rPr>
          <w:b/>
        </w:rPr>
      </w:pPr>
      <w:r w:rsidRPr="00624538">
        <w:rPr>
          <w:b/>
          <w:highlight w:val="yellow"/>
        </w:rPr>
        <w:t>6. Izvještaj o postignutim ciljevima i rezultatima programa temeljenim na pokazateljima uspješnosti iz nadležnosti proračunskog korisnika u prethodnoj godini.</w:t>
      </w:r>
      <w:r w:rsidR="001463A6">
        <w:rPr>
          <w:b/>
        </w:rPr>
        <w:t xml:space="preserve"> (2019./2020</w:t>
      </w:r>
      <w:r w:rsidR="00957E0D">
        <w:rPr>
          <w:b/>
        </w:rPr>
        <w:t>.</w:t>
      </w:r>
      <w:r>
        <w:rPr>
          <w:b/>
        </w:rPr>
        <w:t>g.)</w:t>
      </w:r>
    </w:p>
    <w:p w:rsidR="00134E04" w:rsidRPr="00FE0D74" w:rsidRDefault="00134E04" w:rsidP="00134E04">
      <w:pPr>
        <w:jc w:val="both"/>
      </w:pPr>
    </w:p>
    <w:p w:rsidR="00134E04" w:rsidRDefault="00134E04" w:rsidP="00A660E6">
      <w:pPr>
        <w:jc w:val="both"/>
      </w:pPr>
      <w:r w:rsidRPr="00FE0D74">
        <w:t>Ostvareno je redovno odvijanje nastavnog procesa:</w:t>
      </w:r>
    </w:p>
    <w:p w:rsidR="00653427" w:rsidRDefault="00653427" w:rsidP="001463A6">
      <w:pPr>
        <w:ind w:firstLine="708"/>
        <w:jc w:val="both"/>
      </w:pPr>
      <w:r>
        <w:t xml:space="preserve">Nastava se u 1. polugodištu  odvijala u skladu s planom i programom do 10. listopada 2019. godine, kada je Sindikat hrvatskih učitelja zajedno sa Sindikatom zaposlenih u srednjim školama organizirao takozvani „cirkularni“ štrajk djelatnika osnovnih i srednjih škola te se </w:t>
      </w:r>
      <w:r>
        <w:lastRenderedPageBreak/>
        <w:t>nastava počela odvijati neredovito. Štrajku se priključio veći broj članova sindikata, pa se na taj način nastava nije održala četiri dana u listopadu i dva dana u studenome, sve do 19. studenog 2019. godine kad štrajk iz „cirkularnog“ prelazi u opći i nastava se ne održava od 19. studenog do 2. prosinca 2019. godine, odnosno nije održano ukupno 16 nastavnih dana. Štrajk se prekida 3. prosinca 2019. godine i Ministarstvo znanosti i obrazovanja, na prijedlog županija, donosi odluku o nadoknadi nastavnih dana, odnosno o produljenju nastavne godine do 26. lipnja 2020. godine. Predviđenim je kalendarom rada nastava u školskoj godini trebala završiti u srijedu, 17. lipnja 2020. godine.</w:t>
      </w:r>
    </w:p>
    <w:p w:rsidR="00653427" w:rsidRPr="00FE0D74" w:rsidRDefault="00653427" w:rsidP="001463A6">
      <w:pPr>
        <w:ind w:firstLine="708"/>
        <w:jc w:val="both"/>
      </w:pPr>
      <w:r>
        <w:t>S obzirom na manji broj nastavnih dana realiziranih u 1. polugodištu, učitelji na sjednicama Razrednih vijeća navode i manja odstupanja od plana i programa, ali neke su se aktivnosti provele prema planu.</w:t>
      </w:r>
    </w:p>
    <w:p w:rsidR="00653427" w:rsidRDefault="00653427" w:rsidP="001463A6">
      <w:pPr>
        <w:ind w:firstLine="708"/>
        <w:jc w:val="both"/>
      </w:pPr>
      <w:r>
        <w:t>Ministarstvo znanosti i obrazovanja tijekom nastave na daljinu, između ostalog,  donosi i Upute za vrednovanje i ocjenjivanje učenika, kao i Uredbu o lakšem prijelazu u viši razred ranjivim skupinama učenika, prema kojoj se učenik predmetne nastave koji ima na kraju nastavne godine četiri negativne ocjene upućuje na dopunski rad i omogućuju mu se tri roka popravnog ispita, u slučaju negativne ocjene nakon provedenog dopunskog rada. Učenicima razredne nastave istom se uredbom omogućuje prijelaz u viši razred bez obzira na negativne ocjene.</w:t>
      </w:r>
    </w:p>
    <w:p w:rsidR="00653427" w:rsidRDefault="00653427" w:rsidP="001463A6">
      <w:pPr>
        <w:ind w:firstLine="708"/>
        <w:jc w:val="both"/>
      </w:pPr>
      <w:r>
        <w:t>Sve su navedene okolnosti utjecale i na uspjeh učenika na kraju nastavne godine te je prvi put prolaznost učenika na kraju nastavne, a ne školske godine, bila 100 %. Na kraju nastavne godine, točnije 26. lipnja 2020. godine, u školi je bio 281 učenik, 2 učenika manje nego na početku godine. U razrednoj je nastavi s odličnim uspjehom nastavu završilo 106 učenika ili 88 %, s vrlo dobrim uspjehom 14 učenika ili 11,2 % i 1 učenik ili 0,8 % s dobrim uspjehom. U predmetnoj je nastavi s odličnim uspjehom nastavu završilo 74 učenika ili 46 %, s vrlo dobrim uspjehom 58 učenika ili 36 %, s dobrim uspjehom 25 učenika ili 16 %. Nakon 8 godina, ponovo imamo i učenike koji su razred završili s dovoljnim uspjehom, radi se o troje učenika ili 2 %.</w:t>
      </w:r>
    </w:p>
    <w:p w:rsidR="00853840" w:rsidRPr="00653427" w:rsidRDefault="00653427" w:rsidP="001463A6">
      <w:pPr>
        <w:ind w:firstLine="708"/>
        <w:jc w:val="both"/>
      </w:pPr>
      <w:r>
        <w:t>Ukupno je u školi 180 odličnih učenika ili 64 %, vrlo dobrih 72 ili 26 %, dobrih 26 ili 9 % i 3 dovoljna ili 1 %. U odnosu na prošle godine, uspjeh učenika je osjetno viši – u posljednjih je pet godina broj odličnih učenika svake godine bio podjednak – između 56 i 58 %, što znači da je ove godine, uz stopostotnu prolaznost, i 8 % više odličnih učenika nego prijašnjih godina.</w:t>
      </w:r>
    </w:p>
    <w:p w:rsidR="00653427" w:rsidRDefault="00653427" w:rsidP="001463A6">
      <w:pPr>
        <w:spacing w:line="276" w:lineRule="auto"/>
        <w:ind w:firstLine="708"/>
        <w:jc w:val="both"/>
      </w:pPr>
      <w:r>
        <w:t>Ukupno je 146 učenika bilo prijavljeno na natjecanja i smotre. Zbog iznimnih okolnosti ove školske godine i pojave epidemije COVID-19, pojedina Županijska natjecanja su se održala no većina ih se održala u rujnu! 5 Učenika koji su osvojili jedno od prva tri mjesta na županijskim natjecanjima su nagrađeni: Pohvalnice su uručene učenicima osmih razreda koji su pozvani na županijska natjecanje, a ona su bila odgođena radi epidemioloških mjera.</w:t>
      </w:r>
      <w:r w:rsidR="001463A6">
        <w:t xml:space="preserve"> </w:t>
      </w:r>
      <w:r>
        <w:t xml:space="preserve">Naši učenici sudjelovali su i natjecanjima </w:t>
      </w:r>
      <w:r w:rsidR="001463A6">
        <w:t xml:space="preserve">koje nisu u organizaciji </w:t>
      </w:r>
      <w:proofErr w:type="spellStart"/>
      <w:r w:rsidR="001463A6">
        <w:t>Azoo</w:t>
      </w:r>
      <w:proofErr w:type="spellEnd"/>
      <w:r w:rsidR="001463A6">
        <w:t>-a.</w:t>
      </w:r>
    </w:p>
    <w:p w:rsidR="00653427" w:rsidRDefault="00653427" w:rsidP="001463A6">
      <w:pPr>
        <w:spacing w:line="276" w:lineRule="auto"/>
        <w:ind w:firstLine="708"/>
        <w:jc w:val="both"/>
      </w:pPr>
      <w:r>
        <w:t xml:space="preserve">Učitelj Likovne kulture Davor Petak s učenicama A. K. iz 6. b i A. M. iz 6. a razreda sudjelovao je u projektu „Europa u školi“ u kategoriji likovnog stvaralaštva pod temom: </w:t>
      </w:r>
      <w:r>
        <w:rPr>
          <w:i/>
          <w:iCs/>
        </w:rPr>
        <w:t>Cirkus u Europi</w:t>
      </w:r>
      <w:r>
        <w:t xml:space="preserve">. Učenica A. K. osvojila je 3. mjesto, a A. M. 9. mjesto sa svojim likovnim radom. </w:t>
      </w:r>
    </w:p>
    <w:p w:rsidR="00134E04" w:rsidRDefault="001463A6" w:rsidP="001463A6">
      <w:pPr>
        <w:ind w:firstLine="708"/>
        <w:jc w:val="both"/>
      </w:pPr>
      <w:r>
        <w:t>U</w:t>
      </w:r>
      <w:r w:rsidR="00134E04" w:rsidRPr="004450AE">
        <w:t xml:space="preserve">čenici koji su svih osam razreda prošli s odličnim su nagrađeni. </w:t>
      </w:r>
      <w:r w:rsidR="00134E04" w:rsidRPr="00624538">
        <w:t xml:space="preserve">Za sve učenike i mentore koji su nagrađeni utrošeno je </w:t>
      </w:r>
      <w:r w:rsidR="0077290D">
        <w:t>3.629,47</w:t>
      </w:r>
      <w:r w:rsidR="00134E04" w:rsidRPr="001F4B22">
        <w:t xml:space="preserve"> </w:t>
      </w:r>
      <w:r>
        <w:t>kn</w:t>
      </w:r>
      <w:r w:rsidR="001F4B22">
        <w:t>.</w:t>
      </w:r>
    </w:p>
    <w:p w:rsidR="00653427" w:rsidRDefault="00653427" w:rsidP="001463A6">
      <w:pPr>
        <w:ind w:firstLine="708"/>
        <w:jc w:val="both"/>
      </w:pPr>
      <w:r>
        <w:t xml:space="preserve">U sklopu kulturne i javne djelatnosti škole, na početku nastavne godine održana je priredba za učenike 1. razreda i to u organizaciji grupa izvannastavnih aktivnosti razredne nastave. Provedena je akcija Solidarnost na djelu, obilježen je Svjetski dan životinja, Dan kruha i zahvalnosti za plodove zemlje, prigodnom je izložbom i ostalim aktivnostima u razrednim odjelima obilježen Dan spomena i sjećanja na žrtvu grada Vukovara. Nadalje, </w:t>
      </w:r>
      <w:r>
        <w:lastRenderedPageBreak/>
        <w:t xml:space="preserve">učenici su obilježili Hrvatski olimpijski dan, Tjedan svemira, Dan kravate, Medni dan, blagdan Svetog Nikole, posjećivali su Gradski muzej i sudjelovali na muzejskim radionicama. Provedena je terenska nastava učenika 8. razreda u Zagrebu, uz organiziran posjet Tehničkom muzeju i Muzeju Dražena Petrovića. U sklopu Svjetskog dana životinja organizirana je humanitarna akcija za Udrugu Sklonište dobrote, koja brine o bolesnim i napuštenim mačkama, a akciji se odazvao velik broj učenika i djelatnika škole. Već tradicionalno, i ove je godine organizirano sakupljanje prehrambenih namirnica u sklopu Dana zahvalnosti za plodove zemlje, koje su darovane Caritasu i Socijalnoj samoposluzi. Prvo je polugodište završilo Božićnim sajmom, na kojem je sudjelovao veći broj učenika i djelatnika škole, a dio prihoda uplaćen je u humanitarne svrhe. </w:t>
      </w:r>
    </w:p>
    <w:p w:rsidR="00653427" w:rsidRDefault="00653427" w:rsidP="001463A6">
      <w:pPr>
        <w:ind w:firstLine="708"/>
        <w:jc w:val="both"/>
      </w:pPr>
      <w:r>
        <w:t xml:space="preserve">Izmijenjenim Kalendarom rada, u nastavne su dane pretvoreni dani drugog dijela zimskog odmora učenika, koji je trebao biti od 24. do 28. veljače 2020. godine, nastavni je dan postao 9. travnja odnosno Veliki četvrtak te subota 18. travnja 2020. godine. Uz produženje nastavne godine za 7 dana, tim se planom nadoknađuje 16 dana provedenih u štrajku učitelja. Početkom drugog polugodišta počinje i provedba školskih i županijskih natjecanja. Učenici su sudjelovali na natjecanjima iz hrvatskog jezika, stranih jezika, matematike, biologije, kemije, fizike, povijesti, geografije, informatike, likovne  i tehničke kulture. </w:t>
      </w:r>
    </w:p>
    <w:p w:rsidR="001463A6" w:rsidRDefault="00653427" w:rsidP="001463A6">
      <w:pPr>
        <w:ind w:firstLine="708"/>
        <w:jc w:val="both"/>
      </w:pPr>
      <w:r>
        <w:t xml:space="preserve">Od planiranih aktivnosti u 2. polugodištu, proveden ih je samo manji broj – Noć muzeja, Glazbena priča  za učenike razredne nastave, fašnik, terenska nastava 8. razreda u Vukovar. Nastava se redovito odvijala do 13. ožujka 2020. godine, kad se zbog novonastale epidemiološke situacije vezane uz </w:t>
      </w:r>
      <w:proofErr w:type="spellStart"/>
      <w:r>
        <w:t>Covid</w:t>
      </w:r>
      <w:proofErr w:type="spellEnd"/>
      <w:r>
        <w:t xml:space="preserve">-19 donosi odluka na razini Republike Hrvatske o prekidu nastave te o početku nastave na daljinu. U početku se smatralo da će prekid trajati dva tjedna, nakon kojih bi se učenici vratili u školu, ali se zbog nepovoljnih epidemioloških pokazatelja to nije realiziralo. O nastavi na daljinu, koja se dogodila gotovo preko noći i bez mogućnosti pripreme učenika, učitelja i roditelja, dosta se raspravljalo na sjednicama Razrednih i Učiteljskog vijeća i pokušao se organizirati optimalni način njezine provedbe. Upute i preporuke koje su škole dobivale od Ministarstva znanosti i obrazovanja nisu bile pravovremene i bile su tako napisane da ih je bilo  moguće tumačiti na različite načine. Usprkos teškoćama na koje smo nailazili, nastava se odvijala redovito, uzimajući u obzir objektivne okolnosti na koje se nailazilo u njezinoj provedbi. Početkom mjeseca svibnja 2020. godine, epidemiološke su mjere malo ublažene i Ministarstvo je izdalo preporuku za povratak učenika razredne nastave u škole od 11. svibnja 2020. godine. Međutim, zbog vrlo nejasnih uputa i brojnih ograničenja u realizaciji takve preporuke, do povratka učenika nije došlo. Dva tjedna kasnije, odnosno 25. svibnja 2020. godine, mjere su dodatno ublažene i učenici razredne nastave, nakon 48 dana provedenih u nastavi na daljinu, vraćaju se u škole i tu završavaju nastavnu godinu 26. lipnja 2020. godine. Odlukom nadležnog Ministarstva, učenici predmetne nastave ne vraćaju se u školu i sve dane od 16. ožujka do 26. lipnja 2020. godine provode u nastavi na daljinu, dakle ukupno 15 tjedana odnosno 71 radni dan. </w:t>
      </w:r>
    </w:p>
    <w:p w:rsidR="00653427" w:rsidRDefault="00653427" w:rsidP="001463A6">
      <w:pPr>
        <w:ind w:firstLine="708"/>
        <w:jc w:val="both"/>
      </w:pPr>
      <w:r>
        <w:t xml:space="preserve">U međuvremenu, tijekom trajanja nastave na daljinu, Agencija za odgoj i obrazovanje u početku odgađa, a kasnije i otkazuje provedbu županijskih i državnih natjecanja i smotri u školskoj godini 2019./2020. Novom odlukom, donesenom u lipnju 2020. godine, neodržana će se natjecanja provesti u razdoblju između 9. rujna i 31. prosinca 2020. godine. </w:t>
      </w:r>
    </w:p>
    <w:p w:rsidR="00134E04" w:rsidRPr="0032171D" w:rsidRDefault="00853840" w:rsidP="001463A6">
      <w:pPr>
        <w:autoSpaceDE w:val="0"/>
        <w:autoSpaceDN w:val="0"/>
        <w:adjustRightInd w:val="0"/>
        <w:ind w:firstLine="708"/>
        <w:jc w:val="both"/>
        <w:rPr>
          <w:rFonts w:eastAsiaTheme="minorHAnsi"/>
          <w:bCs/>
          <w:lang w:eastAsia="en-US"/>
        </w:rPr>
      </w:pPr>
      <w:r w:rsidRPr="0032171D">
        <w:t xml:space="preserve">Zbog epidemiološke situacije nisu </w:t>
      </w:r>
      <w:r w:rsidR="0032171D">
        <w:rPr>
          <w:rFonts w:eastAsiaTheme="minorHAnsi"/>
          <w:bCs/>
          <w:lang w:eastAsia="en-US"/>
        </w:rPr>
        <w:t>o</w:t>
      </w:r>
      <w:r w:rsidRPr="0032171D">
        <w:rPr>
          <w:rFonts w:eastAsiaTheme="minorHAnsi"/>
          <w:bCs/>
          <w:lang w:eastAsia="en-US"/>
        </w:rPr>
        <w:t xml:space="preserve">rganizirani </w:t>
      </w:r>
      <w:r w:rsidR="001463A6">
        <w:rPr>
          <w:rFonts w:eastAsiaTheme="minorHAnsi"/>
          <w:bCs/>
          <w:lang w:eastAsia="en-US"/>
        </w:rPr>
        <w:t>jednodnevni izleti.</w:t>
      </w:r>
    </w:p>
    <w:p w:rsidR="00134E04" w:rsidRDefault="001463A6" w:rsidP="001463A6">
      <w:pPr>
        <w:ind w:firstLine="708"/>
        <w:jc w:val="both"/>
      </w:pPr>
      <w:r>
        <w:t>Što se tiče ulaganja u školu, u ovoj godini</w:t>
      </w:r>
      <w:r w:rsidR="00134E04" w:rsidRPr="00624538">
        <w:t xml:space="preserve"> </w:t>
      </w:r>
      <w:r w:rsidR="0077290D">
        <w:t xml:space="preserve">napravljena je kompletna rekonstrukcija kuhinje te </w:t>
      </w:r>
      <w:r>
        <w:t>je ukupna investicija iznosila 246.592,03 kn za što je sklopljen ugovor sa najpovoljnijim ponuditeljem. Usred</w:t>
      </w:r>
      <w:r w:rsidR="009D07AD">
        <w:t xml:space="preserve"> radova, uočena je potreba za demontažom i ponovnom montažom plinskih instalacija te demontažom postojeće nape i ventilacije te montažom nove te su ukupni dodatni radovi iznosili 14.074,00 kn. </w:t>
      </w:r>
    </w:p>
    <w:p w:rsidR="00A47866" w:rsidRPr="00624538" w:rsidRDefault="001463A6" w:rsidP="001463A6">
      <w:pPr>
        <w:ind w:firstLine="708"/>
        <w:jc w:val="both"/>
      </w:pPr>
      <w:r>
        <w:lastRenderedPageBreak/>
        <w:t>B</w:t>
      </w:r>
      <w:r w:rsidR="00A47866">
        <w:t xml:space="preserve">udući da je ove godine škola u procesu kompletne energetske obnove, za potrebe priključenja na elektroenergetsku mrežu utrošeno je 24.046,88 kn. </w:t>
      </w:r>
      <w:r>
        <w:t>Osim ovog, dodatnih ulaganja u opremanje škole nije bilo, budući da se čeka završetak radova, kako bi se nakon toga moglo dalje nastaviti sa opremanjem škole prema planu.</w:t>
      </w:r>
    </w:p>
    <w:p w:rsidR="00134E04" w:rsidRPr="0077290D" w:rsidRDefault="00134E04" w:rsidP="001463A6">
      <w:pPr>
        <w:ind w:firstLine="708"/>
        <w:jc w:val="both"/>
        <w:rPr>
          <w:color w:val="FF0000"/>
        </w:rPr>
      </w:pPr>
      <w:r w:rsidRPr="0032171D">
        <w:t>Kao jedina škola u županiji  koja provodi obrazovanje odraslih ove godine imali smo 8 polaznika.</w:t>
      </w:r>
      <w:r w:rsidR="00A47866" w:rsidRPr="0032171D">
        <w:t xml:space="preserve"> Četiri polaznika su završila jedno od upisnih područja, a troje ih još polazi.</w:t>
      </w:r>
      <w:r w:rsidRPr="0032171D">
        <w:t xml:space="preserve"> </w:t>
      </w:r>
    </w:p>
    <w:p w:rsidR="00134E04" w:rsidRPr="00FE0D74" w:rsidRDefault="00134E04" w:rsidP="00A660E6">
      <w:pPr>
        <w:jc w:val="both"/>
      </w:pPr>
    </w:p>
    <w:p w:rsidR="00134E04" w:rsidRPr="00FE0D74" w:rsidRDefault="00134E04" w:rsidP="001463A6">
      <w:pPr>
        <w:ind w:firstLine="708"/>
        <w:jc w:val="both"/>
      </w:pPr>
      <w:r w:rsidRPr="00FE0D74">
        <w:t>Naša je vizija - kontinuiranim razvojem sustava kvalitete odgoja i obrazovanja postati prepoznatljiva škola kao uspješna, sigurna, poticajna i pouzdana za sve učenike, učitelje i roditelje.</w:t>
      </w:r>
    </w:p>
    <w:p w:rsidR="00134E04" w:rsidRPr="00FE0D74" w:rsidRDefault="00134E04" w:rsidP="001463A6">
      <w:pPr>
        <w:ind w:firstLine="708"/>
        <w:jc w:val="both"/>
      </w:pPr>
      <w:r w:rsidRPr="00FE0D74">
        <w:t xml:space="preserve">I nadalje će nam prioritet biti pružanje usluge osnovnoškolskog obrazovanja i odgoj naših učenika. U naredne tri godine nastojat ćemo  nastaviti raditi na kvaliteti nastave i to stalnim </w:t>
      </w:r>
      <w:r>
        <w:t>„</w:t>
      </w:r>
      <w:r w:rsidRPr="00FE0D74">
        <w:t>usavršavanjem</w:t>
      </w:r>
      <w:r>
        <w:t>“</w:t>
      </w:r>
      <w:r w:rsidRPr="00FE0D74">
        <w:t xml:space="preserve"> učitelja, te </w:t>
      </w:r>
      <w:r>
        <w:t>„</w:t>
      </w:r>
      <w:r w:rsidRPr="00FE0D74">
        <w:t>podizanjem materijalnih</w:t>
      </w:r>
      <w:r>
        <w:t>“</w:t>
      </w:r>
      <w:r w:rsidRPr="00FE0D74">
        <w:t xml:space="preserve"> i drugih uvjeta  rada na viši standard.</w:t>
      </w:r>
      <w:r w:rsidR="001463A6">
        <w:t xml:space="preserve"> </w:t>
      </w:r>
      <w:r w:rsidRPr="00FE0D74">
        <w:t xml:space="preserve">Učenike ćemo poticati na izražavanje kreativnosti, talenta i sposobnosti kroz uključivanje  u slobodne aktivnosti, natjecanja i u druge mnogobrojne školske projekte i manifestacije. </w:t>
      </w:r>
    </w:p>
    <w:p w:rsidR="00134E04" w:rsidRPr="00FE0D74" w:rsidRDefault="00134E04" w:rsidP="00134E04">
      <w:pPr>
        <w:ind w:left="180" w:firstLine="528"/>
        <w:jc w:val="both"/>
      </w:pPr>
    </w:p>
    <w:p w:rsidR="00134E04" w:rsidRDefault="00134E04" w:rsidP="00134E04">
      <w:pPr>
        <w:jc w:val="both"/>
        <w:rPr>
          <w:b/>
        </w:rPr>
      </w:pPr>
      <w:r w:rsidRPr="001A1D2E">
        <w:rPr>
          <w:b/>
        </w:rPr>
        <w:t>7. Ostala obrazloženja</w:t>
      </w:r>
      <w:r>
        <w:rPr>
          <w:b/>
        </w:rPr>
        <w:t xml:space="preserve"> i dokumentacija</w:t>
      </w:r>
    </w:p>
    <w:p w:rsidR="00134E04" w:rsidRDefault="00134E04" w:rsidP="00134E04">
      <w:pPr>
        <w:jc w:val="both"/>
        <w:rPr>
          <w:b/>
        </w:rPr>
      </w:pPr>
    </w:p>
    <w:p w:rsidR="00641964" w:rsidRPr="00F02443" w:rsidRDefault="00641964" w:rsidP="00723608">
      <w:pPr>
        <w:ind w:firstLine="708"/>
        <w:jc w:val="both"/>
      </w:pPr>
      <w:r w:rsidRPr="00641964">
        <w:t>U planu za 2021. godine osigurana su sredstva u Proračunu grada Vara</w:t>
      </w:r>
      <w:r w:rsidR="00723608">
        <w:t xml:space="preserve">ždina u iznosu od </w:t>
      </w:r>
      <w:r w:rsidR="00F02443" w:rsidRPr="00F02443">
        <w:t>992.500</w:t>
      </w:r>
      <w:r w:rsidR="00723608" w:rsidRPr="00F02443">
        <w:t>,00 kn.</w:t>
      </w:r>
    </w:p>
    <w:p w:rsidR="00641964" w:rsidRDefault="00641964" w:rsidP="00723608">
      <w:pPr>
        <w:ind w:firstLine="708"/>
        <w:jc w:val="both"/>
      </w:pPr>
      <w:r>
        <w:t>Za osiguravanje financiranja zakonskog s</w:t>
      </w:r>
      <w:r w:rsidR="007E7DCF">
        <w:t>tandarda u školama, u sklopu iz</w:t>
      </w:r>
      <w:r>
        <w:t>v</w:t>
      </w:r>
      <w:r w:rsidR="007E7DCF">
        <w:t>o</w:t>
      </w:r>
      <w:r>
        <w:t>r</w:t>
      </w:r>
      <w:r w:rsidR="007E7DCF">
        <w:t>a</w:t>
      </w:r>
      <w:r>
        <w:t xml:space="preserve"> 12 – decentralizacija, </w:t>
      </w:r>
      <w:r w:rsidR="007E7DCF">
        <w:t xml:space="preserve">aktivnost 540001 – financiranje materijalnih rashoda, </w:t>
      </w:r>
      <w:r>
        <w:t>za 20</w:t>
      </w:r>
      <w:r w:rsidR="006F45A6">
        <w:t>21. godinu školi je osigurano 420.000,00 kn, od čega se 17</w:t>
      </w:r>
      <w:r>
        <w:t xml:space="preserve">0.000,00 kn planira za rashode energenata, a ostatak od 250.000,00 kn raspoređen je unutar konta prema potrebama škole. </w:t>
      </w:r>
      <w:r w:rsidR="007E7DCF">
        <w:t>Projekcije za 2022. i 2023. godinu tak</w:t>
      </w:r>
      <w:r w:rsidR="006F45A6">
        <w:t>ođer su planirane u iznosu od 42</w:t>
      </w:r>
      <w:r w:rsidR="007E7DCF">
        <w:t>0.000,00 kn.</w:t>
      </w:r>
      <w:r w:rsidR="00723608">
        <w:t xml:space="preserve"> Osim toga, iz izvora 12 – decentralizacija, unutar aktivnosti </w:t>
      </w:r>
      <w:r w:rsidR="00723608" w:rsidRPr="006F45A6">
        <w:t xml:space="preserve">540003 – </w:t>
      </w:r>
      <w:r w:rsidR="006F45A6" w:rsidRPr="006F45A6">
        <w:t xml:space="preserve">održavanje i </w:t>
      </w:r>
      <w:r w:rsidR="00723608" w:rsidRPr="006F45A6">
        <w:t>opremanje osnovnih škola</w:t>
      </w:r>
      <w:r w:rsidR="00723608">
        <w:t>, u 2021. godini osigurano je 100.000,00 kn, za nabavu uredskog namještaja i uređaja za opremanje kuhinje. U 2022. godini planirano je 86.000,00 kn za</w:t>
      </w:r>
      <w:r w:rsidR="006F45A6">
        <w:t xml:space="preserve"> nabavu dugotrajne imovine i 14.000,00 kn z</w:t>
      </w:r>
      <w:r w:rsidR="00723608">
        <w:t xml:space="preserve">a uređenje i opremanje igraonice u produženom boravku. U 2023. </w:t>
      </w:r>
      <w:r w:rsidR="001E5228">
        <w:t>g</w:t>
      </w:r>
      <w:r w:rsidR="00723608">
        <w:t xml:space="preserve">odini planirano je </w:t>
      </w:r>
      <w:r w:rsidR="001E5228">
        <w:t>75.000,00 kn</w:t>
      </w:r>
      <w:r w:rsidR="00B97F09">
        <w:t xml:space="preserve"> za nabavu dugotrajne opreme i 2</w:t>
      </w:r>
      <w:r w:rsidR="001E5228">
        <w:t>5.000,00 kn za uređenje prostorije za arhiviranje.</w:t>
      </w:r>
    </w:p>
    <w:p w:rsidR="007E7DCF" w:rsidRDefault="007E7DCF" w:rsidP="00723608">
      <w:pPr>
        <w:ind w:firstLine="708"/>
        <w:jc w:val="both"/>
      </w:pPr>
      <w:r>
        <w:t>U sklopu aktivnosti 550001 – produ</w:t>
      </w:r>
      <w:r w:rsidR="00B97F09">
        <w:t>ženi boravak, osigurano je 211</w:t>
      </w:r>
      <w:r w:rsidR="001E5228">
        <w:t>.0</w:t>
      </w:r>
      <w:r>
        <w:t>00,00 kn za plaće učiteljica u produženom boravku te 12.000,00 kn za prehranu (15% popusta u PB i izostanci socijalno ugroženih učenika). Projekcije za 2022. i 2023. godinu planirane u istom iznosu.</w:t>
      </w:r>
    </w:p>
    <w:p w:rsidR="007E7DCF" w:rsidRDefault="007E7DCF" w:rsidP="009E0597">
      <w:pPr>
        <w:ind w:firstLine="708"/>
        <w:jc w:val="both"/>
      </w:pPr>
      <w:r>
        <w:t>Za potrebe aktivnosti 550020 – dodatne i dopunske aktivnosti, osigurano je 6.000,00 kn za službena putovanja, odnosno za naknade učiteljima za izlete i maturalna putovanja prema Pravilniku.</w:t>
      </w:r>
      <w:r w:rsidR="009E0597">
        <w:t xml:space="preserve"> Isti iznos planiran je i za 2022. i 2023. godinu. Unutar iste aktivnosti, planirano je 6.500,00 kn za sistematske preglede djelatnika. U 2022. godini planirano je 7.000,00 kn, a u 2023. godini 6.500,00 kn.</w:t>
      </w:r>
    </w:p>
    <w:p w:rsidR="00F0678E" w:rsidRDefault="00F0678E" w:rsidP="009E0597">
      <w:pPr>
        <w:ind w:firstLine="708"/>
        <w:jc w:val="both"/>
      </w:pPr>
      <w:r>
        <w:t>Unutar aktivnosti 550031 – pilot projekt „E-škole“, osigurano je 10.000,00 kn za tehničko održavanje funkcionalnosti opreme.</w:t>
      </w:r>
      <w:r w:rsidR="009E0597">
        <w:t xml:space="preserve"> Isti iznos planiran je u 2022. i 2023. godini. </w:t>
      </w:r>
    </w:p>
    <w:p w:rsidR="00F0678E" w:rsidRDefault="00F0678E" w:rsidP="00134E04">
      <w:pPr>
        <w:jc w:val="both"/>
      </w:pPr>
      <w:r>
        <w:t>Program Školske sheme sastoji se od aktivnosti 550026 – Školsko voće, unutar kojeg je osigurano 11.920,00 kn te aktivnosti 550025 – Školsko mlijeko, gdje je osigurano 8.520,00 kn.</w:t>
      </w:r>
    </w:p>
    <w:p w:rsidR="009E0597" w:rsidRDefault="009E0597" w:rsidP="00395B04">
      <w:pPr>
        <w:ind w:firstLine="708"/>
        <w:jc w:val="both"/>
      </w:pPr>
      <w:r>
        <w:t xml:space="preserve">Grad Varaždin svake godine provodi projekt kojim financira prehranu socijalno ugroženih skupina, unutar projekta SPAS IV, aktivnost </w:t>
      </w:r>
      <w:r w:rsidR="00395B04">
        <w:t>0800</w:t>
      </w:r>
      <w:r w:rsidR="00B97F09">
        <w:t>14, unutar kojeg je osigurano 34.80</w:t>
      </w:r>
      <w:r w:rsidR="00395B04">
        <w:t>0,00 kn.</w:t>
      </w:r>
    </w:p>
    <w:p w:rsidR="00395B04" w:rsidRDefault="00395B04" w:rsidP="00395B04">
      <w:pPr>
        <w:ind w:firstLine="708"/>
        <w:jc w:val="both"/>
      </w:pPr>
      <w:r>
        <w:lastRenderedPageBreak/>
        <w:t xml:space="preserve">Za potrebe osiguravanja pomoćnika u nastavi, unutar programa 080009 – </w:t>
      </w:r>
      <w:r w:rsidRPr="00B97F09">
        <w:t xml:space="preserve">PONOS, </w:t>
      </w:r>
      <w:r>
        <w:t>iz izvora 11 osigurano je 10.060,00 kn, a iz izvora 1415 – PONOS,</w:t>
      </w:r>
      <w:r w:rsidR="00EE707B">
        <w:t xml:space="preserve"> 61.700,00 kn</w:t>
      </w:r>
      <w:r>
        <w:t>,  za potrebe plaća pomoćnika u nastavi,</w:t>
      </w:r>
      <w:r w:rsidR="00EE707B">
        <w:t xml:space="preserve"> regresa, božićnica i prijevoza, ukupno 71.760,00 kn. ,</w:t>
      </w:r>
    </w:p>
    <w:p w:rsidR="00EE707B" w:rsidRDefault="00EE707B" w:rsidP="00395B04">
      <w:pPr>
        <w:ind w:firstLine="708"/>
        <w:jc w:val="both"/>
      </w:pPr>
      <w:r>
        <w:t xml:space="preserve">Grad Varaždin svake godine učenicima s područja grada Varaždina osigurava radne bilježnice </w:t>
      </w:r>
      <w:r w:rsidR="00B97F09">
        <w:t>za obvezne predmete te komplete za tehničku kulturu</w:t>
      </w:r>
      <w:r>
        <w:rPr>
          <w:color w:val="FF0000"/>
        </w:rPr>
        <w:t xml:space="preserve"> </w:t>
      </w:r>
      <w:r>
        <w:t>te je za potrebe nabave radnih bilježnica unutar aktivnosti 550038 – Drugi obrazovni materijali za učenike osnovnih škola, osigurano 100.000,00 kn za 2021., kao i za 2022. i 2023. godinu.</w:t>
      </w:r>
    </w:p>
    <w:p w:rsidR="00EE707B" w:rsidRPr="00395B04" w:rsidRDefault="00EE707B" w:rsidP="00EE707B">
      <w:pPr>
        <w:ind w:firstLine="708"/>
        <w:jc w:val="both"/>
      </w:pPr>
      <w:r>
        <w:t xml:space="preserve">Unutar </w:t>
      </w:r>
      <w:proofErr w:type="spellStart"/>
      <w:r>
        <w:t>vanproračunskih</w:t>
      </w:r>
      <w:proofErr w:type="spellEnd"/>
      <w:r>
        <w:t xml:space="preserve"> prihoda i rashoda planirano je 5.516.000,00 kn</w:t>
      </w:r>
      <w:r w:rsidR="00824D65">
        <w:t xml:space="preserve"> u 2021. godini. </w:t>
      </w:r>
    </w:p>
    <w:p w:rsidR="00F0678E" w:rsidRDefault="00824D65" w:rsidP="00824D65">
      <w:pPr>
        <w:ind w:firstLine="708"/>
        <w:jc w:val="both"/>
      </w:pPr>
      <w:r>
        <w:t>U 2021. godini unutar izvora 21 – državni proračun,</w:t>
      </w:r>
      <w:r w:rsidR="00CA40C6">
        <w:t xml:space="preserve"> aktivnost 510001 – plaće za djelatnike osnovnih škola iz državnog proračuna,</w:t>
      </w:r>
      <w:r w:rsidR="00CA40C6" w:rsidRPr="00CA40C6">
        <w:t xml:space="preserve"> </w:t>
      </w:r>
      <w:r w:rsidR="00CA40C6">
        <w:t xml:space="preserve">planirano je </w:t>
      </w:r>
      <w:r>
        <w:t>4.800.000,00 kn za plaće djelatnika, rashode za zaposlene (regres, božićnica, darovi djeci, jubilarne nagrade i sl.)</w:t>
      </w:r>
      <w:r w:rsidR="00CA40C6">
        <w:t>, prijevoz na posao i s posla. Iz istog izvora planirano je unutar aktivnosti 550038 – udžbenici za učenike osnovnih škola, planirano je 140.000,00 kn za nabavu udžbenika za učenike. Također, unutar aktivnosti 550011 – stručno usavršavanje nastavnika, planirano je 5.000,00 kn za potrebe usavršavanja voditelja ŽSV.</w:t>
      </w:r>
      <w:r w:rsidR="001304E0">
        <w:t xml:space="preserve"> Za 2022</w:t>
      </w:r>
      <w:r w:rsidR="00CA40C6">
        <w:t xml:space="preserve">. i 2023. godinu projekcije su jednake planu 2021. Godine. </w:t>
      </w:r>
    </w:p>
    <w:p w:rsidR="00CA40C6" w:rsidRDefault="00CA40C6" w:rsidP="00824D65">
      <w:pPr>
        <w:ind w:firstLine="708"/>
        <w:jc w:val="both"/>
      </w:pPr>
      <w:r>
        <w:t xml:space="preserve">Unutar izvora 22 – županijski proračun, program, 550020 – dodatne i dopunske aktivnosti, planirano je 9.000,00 za potrebe organizacije natjecanja, kao i za nagrade mentorima i naknade članovima povjerenstva. </w:t>
      </w:r>
      <w:r w:rsidR="001304E0">
        <w:t>Plan 2022. i 2023. godine jednak je planu 2021. godine.</w:t>
      </w:r>
    </w:p>
    <w:p w:rsidR="00CA40C6" w:rsidRDefault="00CA40C6" w:rsidP="00824D65">
      <w:pPr>
        <w:ind w:firstLine="708"/>
        <w:jc w:val="both"/>
      </w:pPr>
      <w:r>
        <w:t xml:space="preserve">Unutar izvora 71- </w:t>
      </w:r>
      <w:r w:rsidR="00DC1BBB">
        <w:t>vlastiti prihodi planirano je 29</w:t>
      </w:r>
      <w:r>
        <w:t xml:space="preserve">.000,00 kn. Od toga je 5.000,00 kn planirano za isplate djelatnicima koje rade u sklopu obrazovanja odraslih, program 550013 – školske manifestacije i ostali programi. Za potrebe usluge tekućeg i investicijskog održavanja te ostale usluge planirano je 19.000,00 kn unutar programa  550014 – održavanje objekata osnovnih škola. </w:t>
      </w:r>
      <w:r w:rsidR="00DC1BBB">
        <w:t>U sklopu programa 550035 – opremanje osnovnih škola, planirano je 3.000,00 kn.</w:t>
      </w:r>
      <w:r w:rsidR="001304E0">
        <w:t xml:space="preserve"> U 2022. i 2023. godini</w:t>
      </w:r>
      <w:r w:rsidR="008B6F71">
        <w:t xml:space="preserve"> planirano je 35.000,00 kn, budući da se očekuje povećanje prihoda od iznajmljivanja dvorane.</w:t>
      </w:r>
    </w:p>
    <w:p w:rsidR="00DC1BBB" w:rsidRDefault="00DC1BBB" w:rsidP="00824D65">
      <w:pPr>
        <w:ind w:firstLine="708"/>
        <w:jc w:val="both"/>
      </w:pPr>
      <w:r>
        <w:t>Unutar izvora 301 – donacije, planirano je 2.000,00 kn u sklopu programa 550014 – održavanje objekata osnovnih škola.</w:t>
      </w:r>
      <w:r w:rsidR="008B6F71">
        <w:t xml:space="preserve"> Plan 2022. i 2023. godine također je 2.000,00 kn.</w:t>
      </w:r>
    </w:p>
    <w:p w:rsidR="00DC1BBB" w:rsidRDefault="00DC1BBB" w:rsidP="00DC1BBB">
      <w:pPr>
        <w:ind w:firstLine="708"/>
        <w:jc w:val="both"/>
      </w:pPr>
      <w:r>
        <w:t xml:space="preserve">U sklopu izvora 72 - - planirano je ukupno 531.000,00 kn. Od toga je 200.000,00 kn planirano unutar aktivnosti 550001 – produženi boravak, za plaće učiteljica u produženom boravku te za namirnice za pripremu ručka u produženom boravku. Planiran je </w:t>
      </w:r>
      <w:r w:rsidR="001304E0">
        <w:t>i preneseni višak i iznosu od 12</w:t>
      </w:r>
      <w:r>
        <w:t xml:space="preserve">.000,00 kn koji će se utrošiti u 2021. godini za nabavu namirnica. Unutar aktivnosti 550004 – prehrana učenika, planirano je 200.000,00 kn za namirnice za  pripremu obroka u školskoj kuhinji, kao i za potrebna sredstva za održavanje kuhinje. Također, </w:t>
      </w:r>
      <w:r w:rsidR="001304E0">
        <w:t>planiran je preneseni višak od 8</w:t>
      </w:r>
      <w:r>
        <w:t>.000,00 kn koji je također planiran za potrebe kupovine namirnica.</w:t>
      </w:r>
      <w:r w:rsidR="001304E0">
        <w:t xml:space="preserve"> U sklopu aktivnosti 5500013 - školske manifestacije i ostali programi, planirano je 10.000,00 kn za osiguranje učenika te 30.000,00 kn za nabavu ispita i ostalih materijala potrebnih za izvođenje nastave. Unutar aktivnosti 550008 – maturalna putovanja – planirano je 70.000,00 kn za organizaciju izleta i maturalnih putovanja. U sklopu aktivnosti 550038 – udžbenici za učenike osnovnih škola, planirano je 1.000,00 kn za kupovinu udžbenika sredstvima koja se prikupe od učenika koji izgube udžbenike te su dužni podmiriti 50% kataloške cijene udžbenika.</w:t>
      </w:r>
      <w:r w:rsidR="008B6F71">
        <w:t xml:space="preserve"> U 2022. i 2023. godini planirano je 511.000,00 kn, budući da nisu planirani viškovi. </w:t>
      </w:r>
    </w:p>
    <w:p w:rsidR="00DC1BBB" w:rsidRPr="00641964" w:rsidRDefault="00DC1BBB" w:rsidP="00DC1BBB">
      <w:pPr>
        <w:ind w:firstLine="708"/>
        <w:jc w:val="both"/>
      </w:pPr>
    </w:p>
    <w:p w:rsidR="00641964" w:rsidRPr="00641964" w:rsidRDefault="00641964" w:rsidP="00134E04">
      <w:pPr>
        <w:jc w:val="both"/>
      </w:pPr>
    </w:p>
    <w:p w:rsidR="00134E04" w:rsidRDefault="00134E04" w:rsidP="00134E04">
      <w:pPr>
        <w:jc w:val="both"/>
      </w:pPr>
    </w:p>
    <w:p w:rsidR="00134E04" w:rsidRDefault="00134E04" w:rsidP="00134E04">
      <w:pPr>
        <w:jc w:val="both"/>
      </w:pPr>
    </w:p>
    <w:p w:rsidR="00134E04" w:rsidRPr="00FE0D74" w:rsidRDefault="00134E04" w:rsidP="00134E04">
      <w:pPr>
        <w:jc w:val="both"/>
      </w:pPr>
    </w:p>
    <w:p w:rsidR="00134E04" w:rsidRPr="00FE0D74" w:rsidRDefault="00134E04" w:rsidP="00134E04">
      <w:pPr>
        <w:jc w:val="both"/>
      </w:pPr>
      <w:r w:rsidRPr="00FE0D74">
        <w:lastRenderedPageBreak/>
        <w:t>U Varaždinu,</w:t>
      </w:r>
      <w:r w:rsidR="00F65C69">
        <w:t xml:space="preserve">  29.12</w:t>
      </w:r>
      <w:r w:rsidR="0077290D">
        <w:t>.2020</w:t>
      </w:r>
      <w:r>
        <w:t>.</w:t>
      </w:r>
    </w:p>
    <w:p w:rsidR="00134E04" w:rsidRDefault="00134E04" w:rsidP="00134E04">
      <w:pPr>
        <w:jc w:val="both"/>
      </w:pPr>
    </w:p>
    <w:p w:rsidR="00134E04" w:rsidRDefault="00134E04" w:rsidP="00134E04">
      <w:pPr>
        <w:jc w:val="both"/>
      </w:pPr>
    </w:p>
    <w:p w:rsidR="00134E04" w:rsidRPr="00FE0D74" w:rsidRDefault="00134E04" w:rsidP="00134E04">
      <w:pPr>
        <w:jc w:val="both"/>
      </w:pPr>
    </w:p>
    <w:p w:rsidR="00134E04" w:rsidRPr="00FE0D74" w:rsidRDefault="00134E04" w:rsidP="00134E04">
      <w:pPr>
        <w:ind w:left="6372"/>
        <w:jc w:val="both"/>
        <w:rPr>
          <w:b/>
        </w:rPr>
      </w:pPr>
      <w:r>
        <w:rPr>
          <w:b/>
        </w:rPr>
        <w:t xml:space="preserve">    </w:t>
      </w:r>
      <w:r w:rsidRPr="00FE0D74">
        <w:rPr>
          <w:b/>
        </w:rPr>
        <w:t>RAVNATELJ:</w:t>
      </w:r>
    </w:p>
    <w:p w:rsidR="00134E04" w:rsidRPr="00FE0D74" w:rsidRDefault="00134E04" w:rsidP="00134E04">
      <w:pPr>
        <w:spacing w:line="360" w:lineRule="auto"/>
        <w:ind w:left="6372"/>
        <w:jc w:val="both"/>
        <w:rPr>
          <w:b/>
        </w:rPr>
      </w:pPr>
    </w:p>
    <w:p w:rsidR="00134E04" w:rsidRPr="009B1C02" w:rsidRDefault="00F65C69" w:rsidP="00F65C69">
      <w:pPr>
        <w:ind w:left="5664"/>
        <w:jc w:val="both"/>
        <w:rPr>
          <w:b/>
        </w:rPr>
      </w:pPr>
      <w:r>
        <w:rPr>
          <w:b/>
        </w:rPr>
        <w:t xml:space="preserve">   </w:t>
      </w:r>
      <w:bookmarkStart w:id="0" w:name="_GoBack"/>
      <w:bookmarkEnd w:id="0"/>
      <w:r w:rsidR="00134E04" w:rsidRPr="00FE0D74">
        <w:rPr>
          <w:b/>
        </w:rPr>
        <w:t xml:space="preserve">Mario </w:t>
      </w:r>
      <w:proofErr w:type="spellStart"/>
      <w:r w:rsidR="00134E04" w:rsidRPr="00FE0D74">
        <w:rPr>
          <w:b/>
        </w:rPr>
        <w:t>Šipek</w:t>
      </w:r>
      <w:proofErr w:type="spellEnd"/>
      <w:r w:rsidR="00134E04" w:rsidRPr="00FE0D74">
        <w:rPr>
          <w:b/>
        </w:rPr>
        <w:t>, dipl. pov.</w:t>
      </w:r>
      <w:r>
        <w:rPr>
          <w:b/>
        </w:rPr>
        <w:t>, v.r.</w:t>
      </w:r>
    </w:p>
    <w:p w:rsidR="009D443D" w:rsidRDefault="009D443D"/>
    <w:p w:rsidR="00A660E6" w:rsidRDefault="00A660E6"/>
    <w:p w:rsidR="00A660E6" w:rsidRDefault="00A660E6"/>
    <w:p w:rsidR="00A660E6" w:rsidRDefault="00A660E6"/>
    <w:p w:rsidR="00A660E6" w:rsidRDefault="00A660E6"/>
    <w:p w:rsidR="00A660E6" w:rsidRPr="00A660E6" w:rsidRDefault="00A660E6">
      <w:pPr>
        <w:rPr>
          <w:b/>
        </w:rPr>
      </w:pPr>
      <w:r w:rsidRPr="00A660E6">
        <w:rPr>
          <w:b/>
        </w:rPr>
        <w:t xml:space="preserve">                                             </w:t>
      </w:r>
      <w:r>
        <w:rPr>
          <w:b/>
        </w:rPr>
        <w:t xml:space="preserve">                             </w:t>
      </w:r>
      <w:r w:rsidRPr="00A660E6">
        <w:rPr>
          <w:b/>
        </w:rPr>
        <w:t xml:space="preserve">  PREDSJEDNICA ŠKOLSKOG ODBORA:</w:t>
      </w:r>
    </w:p>
    <w:p w:rsidR="00A660E6" w:rsidRPr="00A660E6" w:rsidRDefault="00A660E6">
      <w:pPr>
        <w:rPr>
          <w:b/>
        </w:rPr>
      </w:pPr>
    </w:p>
    <w:p w:rsidR="00A660E6" w:rsidRPr="00A660E6" w:rsidRDefault="00A660E6">
      <w:pPr>
        <w:rPr>
          <w:b/>
        </w:rPr>
      </w:pPr>
    </w:p>
    <w:p w:rsidR="00A660E6" w:rsidRPr="00A660E6" w:rsidRDefault="00A660E6">
      <w:pPr>
        <w:rPr>
          <w:b/>
        </w:rPr>
      </w:pPr>
      <w:r w:rsidRPr="00A660E6">
        <w:rPr>
          <w:b/>
        </w:rPr>
        <w:t xml:space="preserve">                                                                             </w:t>
      </w:r>
      <w:r>
        <w:rPr>
          <w:b/>
        </w:rPr>
        <w:t xml:space="preserve">                     </w:t>
      </w:r>
      <w:r w:rsidRPr="00A660E6">
        <w:rPr>
          <w:b/>
        </w:rPr>
        <w:t>Ljerka Stupar</w:t>
      </w:r>
      <w:r w:rsidR="00F65C69">
        <w:rPr>
          <w:b/>
        </w:rPr>
        <w:t>, v.r.</w:t>
      </w:r>
    </w:p>
    <w:sectPr w:rsidR="00A660E6" w:rsidRPr="00A660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FranklinGothicBook">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3D494E"/>
    <w:multiLevelType w:val="hybridMultilevel"/>
    <w:tmpl w:val="4AA6126E"/>
    <w:lvl w:ilvl="0" w:tplc="19786162">
      <w:start w:val="2"/>
      <w:numFmt w:val="bullet"/>
      <w:lvlText w:val="-"/>
      <w:lvlJc w:val="left"/>
      <w:pPr>
        <w:tabs>
          <w:tab w:val="num" w:pos="540"/>
        </w:tabs>
        <w:ind w:left="540" w:hanging="360"/>
      </w:pPr>
      <w:rPr>
        <w:rFonts w:ascii="Times New Roman" w:eastAsia="Times New Roman" w:hAnsi="Times New Roman" w:cs="Times New Roman" w:hint="default"/>
      </w:rPr>
    </w:lvl>
    <w:lvl w:ilvl="1" w:tplc="041A0003" w:tentative="1">
      <w:start w:val="1"/>
      <w:numFmt w:val="bullet"/>
      <w:lvlText w:val="o"/>
      <w:lvlJc w:val="left"/>
      <w:pPr>
        <w:tabs>
          <w:tab w:val="num" w:pos="1320"/>
        </w:tabs>
        <w:ind w:left="1320" w:hanging="360"/>
      </w:pPr>
      <w:rPr>
        <w:rFonts w:ascii="Courier New" w:hAnsi="Courier New" w:cs="Courier New" w:hint="default"/>
      </w:rPr>
    </w:lvl>
    <w:lvl w:ilvl="2" w:tplc="041A0005" w:tentative="1">
      <w:start w:val="1"/>
      <w:numFmt w:val="bullet"/>
      <w:lvlText w:val=""/>
      <w:lvlJc w:val="left"/>
      <w:pPr>
        <w:tabs>
          <w:tab w:val="num" w:pos="2040"/>
        </w:tabs>
        <w:ind w:left="2040" w:hanging="360"/>
      </w:pPr>
      <w:rPr>
        <w:rFonts w:ascii="Wingdings" w:hAnsi="Wingdings" w:hint="default"/>
      </w:rPr>
    </w:lvl>
    <w:lvl w:ilvl="3" w:tplc="041A0001" w:tentative="1">
      <w:start w:val="1"/>
      <w:numFmt w:val="bullet"/>
      <w:lvlText w:val=""/>
      <w:lvlJc w:val="left"/>
      <w:pPr>
        <w:tabs>
          <w:tab w:val="num" w:pos="2760"/>
        </w:tabs>
        <w:ind w:left="2760" w:hanging="360"/>
      </w:pPr>
      <w:rPr>
        <w:rFonts w:ascii="Symbol" w:hAnsi="Symbol" w:hint="default"/>
      </w:rPr>
    </w:lvl>
    <w:lvl w:ilvl="4" w:tplc="041A0003" w:tentative="1">
      <w:start w:val="1"/>
      <w:numFmt w:val="bullet"/>
      <w:lvlText w:val="o"/>
      <w:lvlJc w:val="left"/>
      <w:pPr>
        <w:tabs>
          <w:tab w:val="num" w:pos="3480"/>
        </w:tabs>
        <w:ind w:left="3480" w:hanging="360"/>
      </w:pPr>
      <w:rPr>
        <w:rFonts w:ascii="Courier New" w:hAnsi="Courier New" w:cs="Courier New" w:hint="default"/>
      </w:rPr>
    </w:lvl>
    <w:lvl w:ilvl="5" w:tplc="041A0005" w:tentative="1">
      <w:start w:val="1"/>
      <w:numFmt w:val="bullet"/>
      <w:lvlText w:val=""/>
      <w:lvlJc w:val="left"/>
      <w:pPr>
        <w:tabs>
          <w:tab w:val="num" w:pos="4200"/>
        </w:tabs>
        <w:ind w:left="4200" w:hanging="360"/>
      </w:pPr>
      <w:rPr>
        <w:rFonts w:ascii="Wingdings" w:hAnsi="Wingdings" w:hint="default"/>
      </w:rPr>
    </w:lvl>
    <w:lvl w:ilvl="6" w:tplc="041A0001" w:tentative="1">
      <w:start w:val="1"/>
      <w:numFmt w:val="bullet"/>
      <w:lvlText w:val=""/>
      <w:lvlJc w:val="left"/>
      <w:pPr>
        <w:tabs>
          <w:tab w:val="num" w:pos="4920"/>
        </w:tabs>
        <w:ind w:left="4920" w:hanging="360"/>
      </w:pPr>
      <w:rPr>
        <w:rFonts w:ascii="Symbol" w:hAnsi="Symbol" w:hint="default"/>
      </w:rPr>
    </w:lvl>
    <w:lvl w:ilvl="7" w:tplc="041A0003" w:tentative="1">
      <w:start w:val="1"/>
      <w:numFmt w:val="bullet"/>
      <w:lvlText w:val="o"/>
      <w:lvlJc w:val="left"/>
      <w:pPr>
        <w:tabs>
          <w:tab w:val="num" w:pos="5640"/>
        </w:tabs>
        <w:ind w:left="5640" w:hanging="360"/>
      </w:pPr>
      <w:rPr>
        <w:rFonts w:ascii="Courier New" w:hAnsi="Courier New" w:cs="Courier New" w:hint="default"/>
      </w:rPr>
    </w:lvl>
    <w:lvl w:ilvl="8" w:tplc="041A0005" w:tentative="1">
      <w:start w:val="1"/>
      <w:numFmt w:val="bullet"/>
      <w:lvlText w:val=""/>
      <w:lvlJc w:val="left"/>
      <w:pPr>
        <w:tabs>
          <w:tab w:val="num" w:pos="6360"/>
        </w:tabs>
        <w:ind w:left="6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16A9"/>
    <w:rsid w:val="001304E0"/>
    <w:rsid w:val="00134E04"/>
    <w:rsid w:val="001463A6"/>
    <w:rsid w:val="001E5228"/>
    <w:rsid w:val="001F4B22"/>
    <w:rsid w:val="0026202D"/>
    <w:rsid w:val="002F3A64"/>
    <w:rsid w:val="0032171D"/>
    <w:rsid w:val="00395B04"/>
    <w:rsid w:val="003C17A3"/>
    <w:rsid w:val="00492EF3"/>
    <w:rsid w:val="00641964"/>
    <w:rsid w:val="00653427"/>
    <w:rsid w:val="006F45A6"/>
    <w:rsid w:val="00723608"/>
    <w:rsid w:val="0077290D"/>
    <w:rsid w:val="007E7DCF"/>
    <w:rsid w:val="00824D65"/>
    <w:rsid w:val="00853840"/>
    <w:rsid w:val="008959D5"/>
    <w:rsid w:val="008A2023"/>
    <w:rsid w:val="008B6F71"/>
    <w:rsid w:val="00941EF4"/>
    <w:rsid w:val="00957E0D"/>
    <w:rsid w:val="009D07AD"/>
    <w:rsid w:val="009D443D"/>
    <w:rsid w:val="009E0597"/>
    <w:rsid w:val="00A33C2D"/>
    <w:rsid w:val="00A47866"/>
    <w:rsid w:val="00A660E6"/>
    <w:rsid w:val="00AF6AB0"/>
    <w:rsid w:val="00B71627"/>
    <w:rsid w:val="00B97F09"/>
    <w:rsid w:val="00CA40C6"/>
    <w:rsid w:val="00D016A9"/>
    <w:rsid w:val="00D10929"/>
    <w:rsid w:val="00DC1BBB"/>
    <w:rsid w:val="00E31D7C"/>
    <w:rsid w:val="00EE707B"/>
    <w:rsid w:val="00F02443"/>
    <w:rsid w:val="00F0678E"/>
    <w:rsid w:val="00F55204"/>
    <w:rsid w:val="00F65C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0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53427"/>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E04"/>
    <w:pPr>
      <w:spacing w:after="0" w:line="240" w:lineRule="auto"/>
    </w:pPr>
    <w:rPr>
      <w:rFonts w:ascii="Times New Roman" w:eastAsia="Times New Roman" w:hAnsi="Times New Roman" w:cs="Times New Roman"/>
      <w:sz w:val="24"/>
      <w:szCs w:val="24"/>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StandardWeb">
    <w:name w:val="Normal (Web)"/>
    <w:basedOn w:val="Normal"/>
    <w:uiPriority w:val="99"/>
    <w:semiHidden/>
    <w:unhideWhenUsed/>
    <w:rsid w:val="0065342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3297</Words>
  <Characters>18794</Characters>
  <Application>Microsoft Office Word</Application>
  <DocSecurity>0</DocSecurity>
  <Lines>156</Lines>
  <Paragraphs>44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Windows korisnik</cp:lastModifiedBy>
  <cp:revision>2</cp:revision>
  <cp:lastPrinted>2019-10-28T12:05:00Z</cp:lastPrinted>
  <dcterms:created xsi:type="dcterms:W3CDTF">2021-01-15T09:24:00Z</dcterms:created>
  <dcterms:modified xsi:type="dcterms:W3CDTF">2021-01-15T09:24:00Z</dcterms:modified>
</cp:coreProperties>
</file>